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Pr>
          <w:rFonts w:ascii="Arial" w:hAnsi="Arial" w:cs="Arial"/>
          <w:b/>
          <w:sz w:val="24"/>
          <w:lang w:val="en-US"/>
        </w:rPr>
        <w:t>3GPP TSG-RAN WG4 Meeting #94-e</w:t>
      </w:r>
      <w:r>
        <w:rPr>
          <w:rFonts w:hint="eastAsia" w:ascii="Arial" w:hAnsi="Arial" w:eastAsia="宋体" w:cs="Arial"/>
          <w:b/>
          <w:sz w:val="24"/>
          <w:lang w:val="en-US" w:eastAsia="zh-CN"/>
        </w:rPr>
        <w:t>-Bis</w:t>
      </w:r>
      <w:r>
        <w:rPr>
          <w:rFonts w:ascii="Arial" w:hAnsi="Arial" w:cs="Arial"/>
          <w:b/>
          <w:sz w:val="24"/>
          <w:lang w:val="en-US"/>
        </w:rPr>
        <w:tab/>
      </w:r>
      <w:r>
        <w:rPr>
          <w:rFonts w:ascii="Arial" w:hAnsi="Arial" w:cs="Arial"/>
          <w:b/>
          <w:sz w:val="24"/>
          <w:lang w:val="en-US"/>
        </w:rPr>
        <w:tab/>
      </w:r>
      <w:r>
        <w:rPr>
          <w:rFonts w:ascii="Arial" w:hAnsi="Arial" w:cs="Arial"/>
          <w:b/>
          <w:sz w:val="24"/>
          <w:lang w:val="en-US"/>
        </w:rPr>
        <w:t>R4-20</w:t>
      </w:r>
      <w:r>
        <w:rPr>
          <w:rFonts w:hint="eastAsia" w:ascii="Arial" w:hAnsi="Arial" w:eastAsia="宋体" w:cs="Arial"/>
          <w:b/>
          <w:sz w:val="24"/>
          <w:lang w:val="en-US" w:eastAsia="zh-CN"/>
        </w:rPr>
        <w:t>03765</w:t>
      </w:r>
      <w:r>
        <w:rPr>
          <w:rFonts w:ascii="Arial" w:hAnsi="Arial" w:cs="Arial"/>
          <w:b/>
          <w:sz w:val="24"/>
          <w:lang w:val="en-US"/>
        </w:rPr>
        <w:br w:type="textWrapping"/>
      </w:r>
      <w:r>
        <w:rPr>
          <w:rFonts w:ascii="Arial" w:hAnsi="Arial" w:cs="Arial"/>
          <w:b/>
          <w:sz w:val="24"/>
        </w:rPr>
        <w:t xml:space="preserve">Electronic Meeting, </w:t>
      </w:r>
      <w:r>
        <w:rPr>
          <w:rFonts w:hint="eastAsia" w:ascii="Arial" w:hAnsi="Arial" w:eastAsia="宋体" w:cs="Arial"/>
          <w:b/>
          <w:sz w:val="24"/>
          <w:lang w:val="en-US" w:eastAsia="zh-CN"/>
        </w:rPr>
        <w:t>20</w:t>
      </w:r>
      <w:r>
        <w:rPr>
          <w:rFonts w:ascii="Arial" w:hAnsi="Arial" w:cs="Arial"/>
          <w:b/>
          <w:sz w:val="24"/>
        </w:rPr>
        <w:t xml:space="preserve"> </w:t>
      </w:r>
      <w:r>
        <w:rPr>
          <w:rFonts w:hint="eastAsia" w:ascii="Arial" w:hAnsi="Arial" w:eastAsia="宋体" w:cs="Arial"/>
          <w:b/>
          <w:sz w:val="24"/>
          <w:lang w:val="en-US" w:eastAsia="zh-CN"/>
        </w:rPr>
        <w:t>Apr</w:t>
      </w:r>
      <w:r>
        <w:rPr>
          <w:rFonts w:ascii="Arial" w:hAnsi="Arial" w:cs="Arial"/>
          <w:b/>
          <w:sz w:val="24"/>
        </w:rPr>
        <w:t xml:space="preserve">. – </w:t>
      </w:r>
      <w:r>
        <w:rPr>
          <w:rFonts w:hint="eastAsia" w:ascii="Arial" w:hAnsi="Arial" w:eastAsia="宋体" w:cs="Arial"/>
          <w:b/>
          <w:sz w:val="24"/>
          <w:lang w:val="en-US" w:eastAsia="zh-CN"/>
        </w:rPr>
        <w:t>30</w:t>
      </w:r>
      <w:r>
        <w:rPr>
          <w:rFonts w:ascii="Arial" w:hAnsi="Arial" w:cs="Arial"/>
          <w:b/>
          <w:sz w:val="24"/>
        </w:rPr>
        <w:t xml:space="preserve"> </w:t>
      </w:r>
      <w:r>
        <w:rPr>
          <w:rFonts w:hint="eastAsia" w:ascii="Arial" w:hAnsi="Arial" w:eastAsia="宋体" w:cs="Arial"/>
          <w:b/>
          <w:sz w:val="24"/>
          <w:lang w:val="en-US" w:eastAsia="zh-CN"/>
        </w:rPr>
        <w:t>Apr</w:t>
      </w:r>
      <w:r>
        <w:rPr>
          <w:rFonts w:ascii="Arial" w:hAnsi="Arial" w:cs="Arial"/>
          <w:b/>
          <w:sz w:val="24"/>
        </w:rPr>
        <w:t>., 2020</w:t>
      </w:r>
      <w:bookmarkEnd w:id="0"/>
    </w:p>
    <w:p>
      <w:pPr>
        <w:rPr>
          <w:rFonts w:ascii="Arial" w:hAnsi="Arial" w:cs="Arial"/>
          <w:b/>
          <w:sz w:val="24"/>
          <w:szCs w:val="24"/>
        </w:rPr>
      </w:pPr>
    </w:p>
    <w:p>
      <w:pPr>
        <w:tabs>
          <w:tab w:val="left" w:pos="2160"/>
        </w:tabs>
        <w:rPr>
          <w:rFonts w:hint="default"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eastAsia="宋体" w:cs="Arial"/>
          <w:sz w:val="24"/>
          <w:szCs w:val="24"/>
          <w:lang w:val="en-US" w:eastAsia="zh-CN"/>
        </w:rPr>
        <w:t>9.1.3.2</w:t>
      </w:r>
      <w:bookmarkStart w:id="5" w:name="_GoBack"/>
      <w:bookmarkEnd w:id="5"/>
    </w:p>
    <w:p>
      <w:pPr>
        <w:tabs>
          <w:tab w:val="left" w:pos="2160"/>
        </w:tabs>
        <w:rPr>
          <w:rFonts w:ascii="Arial" w:hAnsi="Arial" w:eastAsia="宋体" w:cs="Arial"/>
          <w:b/>
          <w:sz w:val="24"/>
          <w:szCs w:val="24"/>
          <w:lang w:val="en-US" w:eastAsia="zh-CN"/>
        </w:rPr>
      </w:pPr>
      <w:r>
        <w:rPr>
          <w:rFonts w:ascii="Arial" w:hAnsi="Arial" w:cs="Arial"/>
          <w:b/>
          <w:sz w:val="24"/>
          <w:szCs w:val="24"/>
        </w:rPr>
        <w:t>Source:</w:t>
      </w:r>
      <w:r>
        <w:rPr>
          <w:rFonts w:ascii="Arial" w:hAnsi="Arial" w:cs="Arial"/>
          <w:b/>
          <w:sz w:val="24"/>
          <w:szCs w:val="24"/>
        </w:rPr>
        <w:tab/>
      </w:r>
      <w:r>
        <w:rPr>
          <w:rFonts w:hint="eastAsia" w:ascii="Arial" w:hAnsi="Arial" w:eastAsia="宋体" w:cs="Arial"/>
          <w:sz w:val="24"/>
          <w:szCs w:val="24"/>
          <w:lang w:val="en-US" w:eastAsia="zh-CN"/>
        </w:rPr>
        <w:t>CAICT</w:t>
      </w:r>
    </w:p>
    <w:p>
      <w:pPr>
        <w:tabs>
          <w:tab w:val="left" w:pos="2250"/>
        </w:tabs>
        <w:ind w:left="2160" w:hanging="2160"/>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hint="eastAsia" w:ascii="Arial" w:hAnsi="Arial" w:cs="Arial"/>
          <w:sz w:val="24"/>
          <w:szCs w:val="24"/>
        </w:rPr>
        <w:t>Probe Layout for FR2 3D MPAC System</w:t>
      </w:r>
    </w:p>
    <w:p>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1"/>
    <w:p>
      <w:pPr>
        <w:pStyle w:val="2"/>
        <w:ind w:left="567" w:hanging="567"/>
      </w:pPr>
      <w:r>
        <w:t>Introduction</w:t>
      </w:r>
    </w:p>
    <w:p>
      <w:pPr>
        <w:ind w:left="48"/>
        <w:rPr>
          <w:rFonts w:eastAsia="宋体"/>
          <w:lang w:val="en-US" w:eastAsia="zh-CN"/>
        </w:rPr>
      </w:pPr>
      <w:r>
        <w:rPr>
          <w:rFonts w:hint="eastAsia" w:eastAsia="宋体"/>
          <w:lang w:val="en-US" w:eastAsia="zh-CN"/>
        </w:rPr>
        <w:t xml:space="preserve">The probe layout and PSP limits for FR2 3D MPAC system have been discussed in detail in previous 3GPP RAN4 meetings. The impact of some important parameters on PSP have been </w:t>
      </w:r>
      <w:r>
        <w:rPr>
          <w:rFonts w:eastAsia="宋体"/>
          <w:lang w:val="en-US" w:eastAsia="zh-CN"/>
        </w:rPr>
        <w:t>investigated, such</w:t>
      </w:r>
      <w:r>
        <w:rPr>
          <w:rFonts w:hint="eastAsia" w:eastAsia="宋体"/>
          <w:lang w:val="en-US" w:eastAsia="zh-CN"/>
        </w:rPr>
        <w:t xml:space="preserve"> as the number of probes, range length, DUT array offset and channel model [1]-[3]. In last RAN4 electronic meeting #94-e, it was agreed to set the number of probes of the system to 6 [4]. However, the probe layout and PSP limits for</w:t>
      </w:r>
      <w:r>
        <w:rPr>
          <w:rFonts w:eastAsia="Batang"/>
        </w:rPr>
        <w:t xml:space="preserve"> the down selected channel models</w:t>
      </w:r>
      <w:r>
        <w:rPr>
          <w:rFonts w:hint="eastAsia" w:eastAsia="宋体"/>
          <w:lang w:val="en-US" w:eastAsia="zh-CN"/>
        </w:rPr>
        <w:t xml:space="preserve"> (InO CDL-A and UMi CDL-C) have not been agreed.</w:t>
      </w:r>
    </w:p>
    <w:p>
      <w:pPr>
        <w:ind w:left="48"/>
        <w:rPr>
          <w:rFonts w:eastAsia="宋体"/>
          <w:lang w:val="en-US" w:eastAsia="zh-CN"/>
        </w:rPr>
      </w:pPr>
      <w:r>
        <w:rPr>
          <w:rFonts w:hint="eastAsia" w:eastAsia="宋体"/>
          <w:lang w:val="en-US" w:eastAsia="zh-CN"/>
        </w:rPr>
        <w:t xml:space="preserve">In this contribution, we propose a probe layout that can efficiently emulate the </w:t>
      </w:r>
      <w:r>
        <w:rPr>
          <w:rFonts w:eastAsia="Batang"/>
        </w:rPr>
        <w:t>selected channel models</w:t>
      </w:r>
      <w:r>
        <w:rPr>
          <w:rFonts w:hint="eastAsia" w:eastAsia="宋体"/>
          <w:lang w:val="en-US" w:eastAsia="zh-CN"/>
        </w:rPr>
        <w:t>.</w:t>
      </w:r>
    </w:p>
    <w:p>
      <w:pPr>
        <w:pStyle w:val="2"/>
        <w:ind w:left="567" w:hanging="567"/>
      </w:pPr>
      <w:r>
        <w:t xml:space="preserve">Simulation </w:t>
      </w:r>
    </w:p>
    <w:p>
      <w:pPr>
        <w:ind w:left="48"/>
        <w:rPr>
          <w:rFonts w:eastAsia="宋体"/>
          <w:lang w:val="en-US" w:eastAsia="zh-CN"/>
        </w:rPr>
      </w:pPr>
      <w:r>
        <w:rPr>
          <w:rFonts w:hint="eastAsia" w:eastAsia="宋体"/>
          <w:sz w:val="21"/>
          <w:szCs w:val="22"/>
          <w:lang w:val="en-US" w:eastAsia="zh-CN"/>
        </w:rPr>
        <w:t xml:space="preserve">The BS antenna array is an 8×16 uniform rectangular array (URA) with half wavelength </w:t>
      </w:r>
      <w:r>
        <w:rPr>
          <w:rFonts w:eastAsia="宋体"/>
          <w:sz w:val="21"/>
          <w:szCs w:val="22"/>
          <w:lang w:val="en-US" w:eastAsia="zh-CN"/>
        </w:rPr>
        <w:t>inter-element spacing. In total, 128 fixed beams are constructed from a grid of 8 elevation angles from –2</w:t>
      </w:r>
      <w:r>
        <w:rPr>
          <w:rFonts w:hint="eastAsia" w:eastAsia="宋体"/>
          <w:sz w:val="21"/>
          <w:szCs w:val="22"/>
          <w:lang w:val="en-US" w:eastAsia="zh-CN"/>
        </w:rPr>
        <w:t xml:space="preserve">5° </w:t>
      </w:r>
      <w:r>
        <w:rPr>
          <w:rFonts w:eastAsia="宋体"/>
          <w:sz w:val="21"/>
          <w:szCs w:val="22"/>
          <w:lang w:val="en-US" w:eastAsia="zh-CN"/>
        </w:rPr>
        <w:t>to +25</w:t>
      </w:r>
      <w:r>
        <w:rPr>
          <w:rFonts w:hint="eastAsia" w:eastAsia="宋体"/>
          <w:sz w:val="21"/>
          <w:szCs w:val="22"/>
          <w:lang w:val="en-US" w:eastAsia="zh-CN"/>
        </w:rPr>
        <w:t xml:space="preserve"> °</w:t>
      </w:r>
      <w:r>
        <w:rPr>
          <w:rFonts w:eastAsia="宋体"/>
          <w:sz w:val="21"/>
          <w:szCs w:val="22"/>
          <w:lang w:val="en-US" w:eastAsia="zh-CN"/>
        </w:rPr>
        <w:t>with ~7.1</w:t>
      </w:r>
      <w:r>
        <w:rPr>
          <w:rFonts w:hint="eastAsia" w:eastAsia="宋体"/>
          <w:sz w:val="21"/>
          <w:szCs w:val="22"/>
          <w:lang w:val="en-US" w:eastAsia="zh-CN"/>
        </w:rPr>
        <w:t>°</w:t>
      </w:r>
      <w:r>
        <w:rPr>
          <w:rFonts w:eastAsia="宋体"/>
          <w:sz w:val="21"/>
          <w:szCs w:val="22"/>
          <w:lang w:val="en-US" w:eastAsia="zh-CN"/>
        </w:rPr>
        <w:t>step size and 16 azimuth angles from –60</w:t>
      </w:r>
      <w:r>
        <w:rPr>
          <w:rFonts w:hint="eastAsia" w:eastAsia="宋体"/>
          <w:sz w:val="21"/>
          <w:szCs w:val="22"/>
          <w:lang w:val="en-US" w:eastAsia="zh-CN"/>
        </w:rPr>
        <w:t>°</w:t>
      </w:r>
      <w:r>
        <w:rPr>
          <w:rFonts w:eastAsia="宋体"/>
          <w:sz w:val="21"/>
          <w:szCs w:val="22"/>
          <w:lang w:val="en-US" w:eastAsia="zh-CN"/>
        </w:rPr>
        <w:t xml:space="preserve"> to +60</w:t>
      </w:r>
      <w:r>
        <w:rPr>
          <w:rFonts w:hint="eastAsia" w:eastAsia="宋体"/>
          <w:sz w:val="21"/>
          <w:szCs w:val="22"/>
          <w:lang w:val="en-US" w:eastAsia="zh-CN"/>
        </w:rPr>
        <w:t>°</w:t>
      </w:r>
      <w:r>
        <w:rPr>
          <w:rFonts w:eastAsia="宋体"/>
          <w:sz w:val="21"/>
          <w:szCs w:val="22"/>
          <w:lang w:val="en-US" w:eastAsia="zh-CN"/>
        </w:rPr>
        <w:t xml:space="preserve"> with 8</w:t>
      </w:r>
      <w:r>
        <w:rPr>
          <w:rFonts w:hint="eastAsia" w:eastAsia="宋体"/>
          <w:sz w:val="21"/>
          <w:szCs w:val="22"/>
          <w:lang w:val="en-US" w:eastAsia="zh-CN"/>
        </w:rPr>
        <w:t>°</w:t>
      </w:r>
      <w:r>
        <w:rPr>
          <w:rFonts w:eastAsia="宋体"/>
          <w:sz w:val="21"/>
          <w:szCs w:val="22"/>
          <w:lang w:val="en-US" w:eastAsia="zh-CN"/>
        </w:rPr>
        <w:t>step size</w:t>
      </w:r>
      <w:r>
        <w:rPr>
          <w:rFonts w:hint="eastAsia" w:eastAsia="宋体"/>
          <w:sz w:val="21"/>
          <w:szCs w:val="22"/>
          <w:lang w:val="en-US" w:eastAsia="zh-CN"/>
        </w:rPr>
        <w:t>. In addition, o</w:t>
      </w:r>
      <w:r>
        <w:t>nly 1 strongest beam is generated by the BS</w:t>
      </w:r>
      <w:r>
        <w:rPr>
          <w:rFonts w:hint="eastAsia" w:eastAsia="宋体"/>
          <w:lang w:val="en-US" w:eastAsia="zh-CN"/>
        </w:rPr>
        <w:t xml:space="preserve"> </w:t>
      </w:r>
      <w:r>
        <w:t>for NR FR2 MIMO</w:t>
      </w:r>
      <w:r>
        <w:rPr>
          <w:rFonts w:hint="eastAsia" w:eastAsia="宋体"/>
          <w:lang w:val="en-US" w:eastAsia="zh-CN"/>
        </w:rPr>
        <w:t xml:space="preserve"> [5]. InO CDL-A and UMi CDL-C </w:t>
      </w:r>
      <w:r>
        <w:rPr>
          <w:rFonts w:eastAsia="宋体"/>
          <w:lang w:val="en-US" w:eastAsia="zh-CN"/>
        </w:rPr>
        <w:t xml:space="preserve">channel model </w:t>
      </w:r>
      <w:r>
        <w:rPr>
          <w:rFonts w:hint="eastAsia" w:eastAsia="宋体"/>
          <w:lang w:val="en-US" w:eastAsia="zh-CN"/>
        </w:rPr>
        <w:t>will be filtered by gNB beam, which makes the models</w:t>
      </w:r>
      <w:r>
        <w:rPr>
          <w:rFonts w:eastAsia="宋体"/>
          <w:lang w:val="en-US" w:eastAsia="zh-CN"/>
        </w:rPr>
        <w:t>’</w:t>
      </w:r>
      <w:r>
        <w:rPr>
          <w:rFonts w:hint="eastAsia" w:eastAsia="宋体"/>
          <w:lang w:val="en-US" w:eastAsia="zh-CN"/>
        </w:rPr>
        <w:t xml:space="preserve"> power concentrated.</w:t>
      </w:r>
    </w:p>
    <w:p>
      <w:pPr>
        <w:ind w:left="48"/>
        <w:rPr>
          <w:rFonts w:eastAsia="宋体"/>
          <w:lang w:val="en-US" w:eastAsia="zh-CN"/>
        </w:rPr>
      </w:pPr>
      <w:r>
        <w:rPr>
          <w:rFonts w:hint="eastAsia" w:eastAsia="宋体"/>
          <w:lang w:val="en-US" w:eastAsia="zh-CN"/>
        </w:rPr>
        <w:t xml:space="preserve">Figure 1 shows the power value of </w:t>
      </w:r>
      <w:r>
        <w:rPr>
          <w:rFonts w:eastAsia="宋体"/>
          <w:lang w:val="en-US" w:eastAsia="zh-CN"/>
        </w:rPr>
        <w:t xml:space="preserve">the </w:t>
      </w:r>
      <w:r>
        <w:rPr>
          <w:rFonts w:hint="eastAsia" w:eastAsia="宋体"/>
          <w:lang w:val="en-US" w:eastAsia="zh-CN"/>
        </w:rPr>
        <w:t>selected channel models before and after gNB filtering. It should be noted that the clusters with exactly same angular parameters are classified as the same cluster after the power is added, e.g., cluster 2-4 and 5-7 for InO CDL-A,cluster 2-4 and 6-8 for UMi CDL-C.</w:t>
      </w:r>
    </w:p>
    <w:p>
      <w:pPr>
        <w:ind w:left="48"/>
        <w:jc w:val="center"/>
        <w:rPr>
          <w:rFonts w:eastAsia="宋体"/>
          <w:lang w:val="en-US" w:eastAsia="zh-CN"/>
        </w:rPr>
      </w:pPr>
      <w:r>
        <w:rPr>
          <w:rFonts w:eastAsia="宋体"/>
          <w:lang w:val="en-US" w:eastAsia="zh-CN"/>
        </w:rPr>
        <w:drawing>
          <wp:inline distT="0" distB="0" distL="114300" distR="114300">
            <wp:extent cx="2663825" cy="1997710"/>
            <wp:effectExtent l="0" t="0" r="3175" b="2540"/>
            <wp:docPr id="4" name="图片 4" descr="CDL_A_Pow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DL_A_Power2"/>
                    <pic:cNvPicPr>
                      <a:picLocks noChangeAspect="1"/>
                    </pic:cNvPicPr>
                  </pic:nvPicPr>
                  <pic:blipFill>
                    <a:blip r:embed="rId6"/>
                    <a:stretch>
                      <a:fillRect/>
                    </a:stretch>
                  </pic:blipFill>
                  <pic:spPr>
                    <a:xfrm>
                      <a:off x="0" y="0"/>
                      <a:ext cx="2663825" cy="1997710"/>
                    </a:xfrm>
                    <a:prstGeom prst="rect">
                      <a:avLst/>
                    </a:prstGeom>
                  </pic:spPr>
                </pic:pic>
              </a:graphicData>
            </a:graphic>
          </wp:inline>
        </w:drawing>
      </w:r>
      <w:r>
        <w:rPr>
          <w:rFonts w:eastAsia="宋体"/>
          <w:lang w:val="en-US" w:eastAsia="zh-CN"/>
        </w:rPr>
        <w:drawing>
          <wp:inline distT="0" distB="0" distL="114300" distR="114300">
            <wp:extent cx="2663825" cy="1997710"/>
            <wp:effectExtent l="0" t="0" r="3175" b="2540"/>
            <wp:docPr id="1" name="图片 1" descr="CDL_C_Pow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DL_C_Power2"/>
                    <pic:cNvPicPr>
                      <a:picLocks noChangeAspect="1"/>
                    </pic:cNvPicPr>
                  </pic:nvPicPr>
                  <pic:blipFill>
                    <a:blip r:embed="rId7"/>
                    <a:stretch>
                      <a:fillRect/>
                    </a:stretch>
                  </pic:blipFill>
                  <pic:spPr>
                    <a:xfrm>
                      <a:off x="0" y="0"/>
                      <a:ext cx="2663825" cy="1997710"/>
                    </a:xfrm>
                    <a:prstGeom prst="rect">
                      <a:avLst/>
                    </a:prstGeom>
                  </pic:spPr>
                </pic:pic>
              </a:graphicData>
            </a:graphic>
          </wp:inline>
        </w:drawing>
      </w:r>
    </w:p>
    <w:p>
      <w:pPr>
        <w:ind w:left="48"/>
        <w:jc w:val="center"/>
        <w:rPr>
          <w:rFonts w:eastAsia="宋体"/>
          <w:lang w:val="en-US" w:eastAsia="zh-CN"/>
        </w:rPr>
      </w:pPr>
      <w:r>
        <w:rPr>
          <w:rFonts w:hint="eastAsia" w:eastAsia="宋体"/>
          <w:b/>
          <w:bCs/>
          <w:lang w:val="en-US" w:eastAsia="zh-CN"/>
        </w:rPr>
        <w:t>Figure 1</w:t>
      </w:r>
      <w:r>
        <w:rPr>
          <w:rFonts w:hint="eastAsia" w:eastAsia="宋体"/>
          <w:lang w:val="en-US" w:eastAsia="zh-CN"/>
        </w:rPr>
        <w:t>. Cluster power of InO CDL-A and CDL-C before and after gNb filtering</w:t>
      </w:r>
    </w:p>
    <w:p>
      <w:pPr>
        <w:pStyle w:val="3"/>
        <w:rPr>
          <w:rFonts w:ascii="Times New Roman" w:hAnsi="Times New Roman" w:eastAsia="宋体"/>
          <w:sz w:val="21"/>
          <w:szCs w:val="22"/>
          <w:lang w:val="en-US" w:eastAsia="zh-CN"/>
        </w:rPr>
      </w:pPr>
      <w:r>
        <w:rPr>
          <w:rFonts w:hint="eastAsia" w:ascii="Times New Roman" w:hAnsi="Times New Roman" w:eastAsia="宋体"/>
          <w:sz w:val="21"/>
          <w:szCs w:val="22"/>
          <w:lang w:val="en-US" w:eastAsia="zh-CN"/>
        </w:rPr>
        <w:t>If we select those clusters containing 99.9% power of the model, then we can get the following result.</w:t>
      </w:r>
    </w:p>
    <w:p>
      <w:pPr>
        <w:rPr>
          <w:rFonts w:eastAsia="宋体"/>
          <w:sz w:val="21"/>
          <w:szCs w:val="22"/>
          <w:lang w:val="en-US" w:eastAsia="zh-CN"/>
        </w:rPr>
      </w:pPr>
    </w:p>
    <w:p>
      <w:pPr>
        <w:rPr>
          <w:rFonts w:eastAsia="宋体"/>
          <w:sz w:val="21"/>
          <w:szCs w:val="22"/>
          <w:lang w:val="en-US" w:eastAsia="zh-CN"/>
        </w:rPr>
      </w:pPr>
    </w:p>
    <w:p>
      <w:pPr>
        <w:rPr>
          <w:rFonts w:eastAsia="宋体"/>
          <w:sz w:val="21"/>
          <w:szCs w:val="22"/>
          <w:lang w:val="en-US" w:eastAsia="zh-CN"/>
        </w:rPr>
      </w:pPr>
    </w:p>
    <w:p>
      <w:pPr>
        <w:rPr>
          <w:rFonts w:eastAsia="宋体"/>
          <w:sz w:val="21"/>
          <w:szCs w:val="22"/>
          <w:lang w:val="en-US" w:eastAsia="zh-CN"/>
        </w:rPr>
      </w:pPr>
    </w:p>
    <w:p>
      <w:pPr>
        <w:jc w:val="center"/>
        <w:rPr>
          <w:rFonts w:eastAsia="宋体"/>
          <w:sz w:val="21"/>
          <w:szCs w:val="22"/>
          <w:lang w:val="en-US" w:eastAsia="zh-CN"/>
        </w:rPr>
      </w:pPr>
      <w:r>
        <w:rPr>
          <w:rFonts w:hint="eastAsia" w:eastAsia="宋体"/>
          <w:b/>
          <w:bCs/>
          <w:sz w:val="21"/>
          <w:szCs w:val="22"/>
          <w:lang w:val="en-US" w:eastAsia="zh-CN"/>
        </w:rPr>
        <w:t>Table 1</w:t>
      </w:r>
      <w:r>
        <w:rPr>
          <w:rFonts w:hint="eastAsia" w:eastAsia="宋体"/>
          <w:sz w:val="21"/>
          <w:szCs w:val="22"/>
          <w:lang w:val="en-US" w:eastAsia="zh-CN"/>
        </w:rPr>
        <w:t>: Selected clusters after gNb filtering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4077"/>
        <w:gridCol w:w="4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jc w:val="center"/>
              <w:rPr>
                <w:lang w:val="en-US" w:eastAsia="zh-CN"/>
              </w:rPr>
            </w:pPr>
            <w:r>
              <w:rPr>
                <w:rFonts w:hint="eastAsia"/>
                <w:lang w:val="en-US" w:eastAsia="zh-CN"/>
              </w:rPr>
              <w:t>Model</w:t>
            </w:r>
          </w:p>
        </w:tc>
        <w:tc>
          <w:tcPr>
            <w:tcW w:w="4077" w:type="dxa"/>
            <w:vAlign w:val="center"/>
          </w:tcPr>
          <w:p>
            <w:pPr>
              <w:jc w:val="center"/>
              <w:rPr>
                <w:lang w:val="en-US" w:eastAsia="zh-CN"/>
              </w:rPr>
            </w:pPr>
            <w:r>
              <w:rPr>
                <w:rFonts w:hint="eastAsia"/>
                <w:lang w:val="en-US" w:eastAsia="zh-CN"/>
              </w:rPr>
              <w:t>Selected Cluster Ind.</w:t>
            </w:r>
          </w:p>
        </w:tc>
        <w:tc>
          <w:tcPr>
            <w:tcW w:w="4077" w:type="dxa"/>
            <w:vAlign w:val="center"/>
          </w:tcPr>
          <w:p>
            <w:pPr>
              <w:jc w:val="center"/>
              <w:rPr>
                <w:lang w:val="en-US" w:eastAsia="zh-CN"/>
              </w:rPr>
            </w:pPr>
            <w:r>
              <w:rPr>
                <w:rFonts w:hint="eastAsia"/>
                <w:lang w:val="en-US" w:eastAsia="zh-CN"/>
              </w:rPr>
              <w:t>Power ratio of strongest cluster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1701" w:type="dxa"/>
            <w:vAlign w:val="center"/>
          </w:tcPr>
          <w:p>
            <w:pPr>
              <w:jc w:val="center"/>
              <w:rPr>
                <w:lang w:val="en-US" w:eastAsia="zh-CN"/>
              </w:rPr>
            </w:pPr>
            <w:r>
              <w:rPr>
                <w:rFonts w:hint="eastAsia"/>
                <w:lang w:val="en-US" w:eastAsia="zh-CN"/>
              </w:rPr>
              <w:t>InO CDL-A</w:t>
            </w:r>
          </w:p>
        </w:tc>
        <w:tc>
          <w:tcPr>
            <w:tcW w:w="4077" w:type="dxa"/>
            <w:vAlign w:val="center"/>
          </w:tcPr>
          <w:p>
            <w:pPr>
              <w:jc w:val="center"/>
              <w:rPr>
                <w:lang w:val="en-US" w:eastAsia="zh-CN"/>
              </w:rPr>
            </w:pPr>
            <w:r>
              <w:rPr>
                <w:rFonts w:hint="eastAsia"/>
                <w:lang w:val="en-US" w:eastAsia="zh-CN"/>
              </w:rPr>
              <w:t>2</w:t>
            </w:r>
          </w:p>
        </w:tc>
        <w:tc>
          <w:tcPr>
            <w:tcW w:w="4077" w:type="dxa"/>
            <w:vAlign w:val="center"/>
          </w:tcPr>
          <w:p>
            <w:pPr>
              <w:jc w:val="center"/>
              <w:rPr>
                <w:lang w:val="en-US" w:eastAsia="zh-CN"/>
              </w:rPr>
            </w:pPr>
            <w:r>
              <w:rPr>
                <w:rFonts w:hint="eastAsia"/>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jc w:val="center"/>
              <w:rPr>
                <w:lang w:val="en-US" w:eastAsia="zh-CN"/>
              </w:rPr>
            </w:pPr>
            <w:r>
              <w:rPr>
                <w:rFonts w:hint="eastAsia"/>
                <w:lang w:val="en-US" w:eastAsia="zh-CN"/>
              </w:rPr>
              <w:t>UMi CDL-C</w:t>
            </w:r>
          </w:p>
        </w:tc>
        <w:tc>
          <w:tcPr>
            <w:tcW w:w="4077" w:type="dxa"/>
            <w:vAlign w:val="center"/>
          </w:tcPr>
          <w:p>
            <w:pPr>
              <w:jc w:val="center"/>
              <w:rPr>
                <w:lang w:val="en-US" w:eastAsia="zh-CN"/>
              </w:rPr>
            </w:pPr>
            <w:r>
              <w:rPr>
                <w:rFonts w:hint="eastAsia"/>
                <w:lang w:val="en-US" w:eastAsia="zh-CN"/>
              </w:rPr>
              <w:t>4、2、1、9、3</w:t>
            </w:r>
          </w:p>
        </w:tc>
        <w:tc>
          <w:tcPr>
            <w:tcW w:w="4077" w:type="dxa"/>
            <w:vAlign w:val="center"/>
          </w:tcPr>
          <w:p>
            <w:pPr>
              <w:jc w:val="center"/>
              <w:rPr>
                <w:lang w:val="en-US" w:eastAsia="zh-CN"/>
              </w:rPr>
            </w:pPr>
            <w:r>
              <w:rPr>
                <w:rFonts w:hint="eastAsia"/>
                <w:lang w:val="en-US" w:eastAsia="zh-CN"/>
              </w:rPr>
              <w:t>98.39%</w:t>
            </w:r>
          </w:p>
        </w:tc>
      </w:tr>
    </w:tbl>
    <w:p>
      <w:pPr>
        <w:rPr>
          <w:lang w:val="en-US" w:eastAsia="zh-CN"/>
        </w:rPr>
      </w:pPr>
    </w:p>
    <w:p>
      <w:pPr>
        <w:pStyle w:val="3"/>
        <w:ind w:left="0" w:firstLine="0"/>
        <w:rPr>
          <w:rFonts w:ascii="Times New Roman" w:hAnsi="Times New Roman" w:eastAsia="宋体"/>
          <w:sz w:val="21"/>
          <w:szCs w:val="22"/>
          <w:lang w:val="en-US" w:eastAsia="zh-CN"/>
        </w:rPr>
      </w:pPr>
      <w:r>
        <w:rPr>
          <w:rFonts w:hint="eastAsia" w:ascii="Times New Roman" w:hAnsi="Times New Roman" w:eastAsia="宋体"/>
          <w:b/>
          <w:bCs/>
          <w:sz w:val="21"/>
          <w:szCs w:val="22"/>
          <w:lang w:val="en-US" w:eastAsia="zh-CN"/>
        </w:rPr>
        <w:t>Observation 1</w:t>
      </w:r>
      <w:r>
        <w:rPr>
          <w:rFonts w:hint="eastAsia" w:ascii="Times New Roman" w:hAnsi="Times New Roman" w:eastAsia="宋体"/>
          <w:sz w:val="21"/>
          <w:szCs w:val="22"/>
          <w:lang w:val="en-US" w:eastAsia="zh-CN"/>
        </w:rPr>
        <w:t>: Both InO CDL-A and UMi CDL-C can be simplified with the gNB filtering and the strongest cluster has almost all power of the model.</w:t>
      </w:r>
    </w:p>
    <w:p>
      <w:pPr>
        <w:rPr>
          <w:rFonts w:eastAsia="宋体"/>
          <w:sz w:val="21"/>
          <w:szCs w:val="22"/>
          <w:lang w:val="en-US" w:eastAsia="zh-CN"/>
        </w:rPr>
      </w:pPr>
      <w:r>
        <w:rPr>
          <w:rFonts w:hint="eastAsia" w:eastAsia="宋体"/>
          <w:sz w:val="21"/>
          <w:szCs w:val="22"/>
          <w:lang w:val="en-US" w:eastAsia="zh-CN"/>
        </w:rPr>
        <w:t xml:space="preserve">In order to make the two models share the probe to the maximum extent, we adopt the same method as proposal [2], that is, fix one model and move the other model so that the center of strongest cluster of both models are aligned. Since InO CDL-A has only one cluster, we adjust AOA and ZOA of InO CDL-A so that it is completely aligned with the strongest cluster direction of UMi CDL-C. The rotation of InO CDL-A can be compensated by </w:t>
      </w:r>
      <w:r>
        <w:rPr>
          <w:rFonts w:eastAsia="宋体"/>
          <w:sz w:val="21"/>
          <w:szCs w:val="22"/>
          <w:lang w:val="en-US" w:eastAsia="zh-CN"/>
        </w:rPr>
        <w:t>corresponding</w:t>
      </w:r>
      <w:r>
        <w:rPr>
          <w:rFonts w:hint="eastAsia" w:eastAsia="宋体"/>
          <w:sz w:val="21"/>
          <w:szCs w:val="22"/>
          <w:lang w:val="en-US" w:eastAsia="zh-CN"/>
        </w:rPr>
        <w:t xml:space="preserve"> rotation of DUT during the testing.</w:t>
      </w:r>
    </w:p>
    <w:p>
      <w:pPr>
        <w:rPr>
          <w:rFonts w:eastAsia="宋体"/>
          <w:sz w:val="21"/>
          <w:szCs w:val="22"/>
          <w:lang w:val="en-US" w:eastAsia="zh-CN"/>
        </w:rPr>
      </w:pPr>
      <w:r>
        <w:rPr>
          <w:rFonts w:hint="eastAsia" w:eastAsia="宋体"/>
          <w:sz w:val="21"/>
          <w:szCs w:val="22"/>
          <w:lang w:val="en-US" w:eastAsia="zh-CN"/>
        </w:rPr>
        <w:t>A probe layout for FR2 3D MPAC system is illustrated in Figure 2.</w:t>
      </w:r>
    </w:p>
    <w:p>
      <w:pPr>
        <w:jc w:val="center"/>
        <w:rPr>
          <w:rFonts w:eastAsia="宋体"/>
          <w:sz w:val="21"/>
          <w:szCs w:val="22"/>
          <w:lang w:val="en-US" w:eastAsia="zh-CN"/>
        </w:rPr>
      </w:pPr>
      <w:r>
        <w:rPr>
          <w:rFonts w:eastAsia="宋体"/>
          <w:sz w:val="21"/>
          <w:szCs w:val="22"/>
          <w:lang w:val="en-US" w:eastAsia="zh-CN"/>
        </w:rPr>
        <w:drawing>
          <wp:inline distT="0" distB="0" distL="114300" distR="114300">
            <wp:extent cx="3810000" cy="2857500"/>
            <wp:effectExtent l="0" t="0" r="0" b="0"/>
            <wp:docPr id="5" name="图片 5" descr="Probe Lay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Probe Layout"/>
                    <pic:cNvPicPr>
                      <a:picLocks noChangeAspect="1"/>
                    </pic:cNvPicPr>
                  </pic:nvPicPr>
                  <pic:blipFill>
                    <a:blip r:embed="rId8"/>
                    <a:stretch>
                      <a:fillRect/>
                    </a:stretch>
                  </pic:blipFill>
                  <pic:spPr>
                    <a:xfrm>
                      <a:off x="0" y="0"/>
                      <a:ext cx="3810000" cy="2857500"/>
                    </a:xfrm>
                    <a:prstGeom prst="rect">
                      <a:avLst/>
                    </a:prstGeom>
                  </pic:spPr>
                </pic:pic>
              </a:graphicData>
            </a:graphic>
          </wp:inline>
        </w:drawing>
      </w:r>
    </w:p>
    <w:p>
      <w:pPr>
        <w:jc w:val="center"/>
        <w:rPr>
          <w:rFonts w:eastAsia="宋体"/>
          <w:sz w:val="21"/>
          <w:szCs w:val="22"/>
          <w:lang w:val="en-US" w:eastAsia="zh-CN"/>
        </w:rPr>
      </w:pPr>
      <w:r>
        <w:rPr>
          <w:rFonts w:hint="eastAsia" w:eastAsia="宋体"/>
          <w:b/>
          <w:bCs/>
          <w:sz w:val="21"/>
          <w:szCs w:val="22"/>
          <w:lang w:val="en-US" w:eastAsia="zh-CN"/>
        </w:rPr>
        <w:t>Figure 2</w:t>
      </w:r>
      <w:r>
        <w:rPr>
          <w:rFonts w:hint="eastAsia" w:eastAsia="宋体"/>
          <w:sz w:val="21"/>
          <w:szCs w:val="22"/>
          <w:lang w:val="en-US" w:eastAsia="zh-CN"/>
        </w:rPr>
        <w:t>.  Probe layout for FR2 MPAC System</w:t>
      </w:r>
    </w:p>
    <w:p>
      <w:pPr>
        <w:jc w:val="both"/>
        <w:rPr>
          <w:rFonts w:eastAsia="宋体"/>
          <w:sz w:val="21"/>
          <w:szCs w:val="22"/>
          <w:lang w:val="en-US" w:eastAsia="zh-CN"/>
        </w:rPr>
      </w:pPr>
      <w:r>
        <w:rPr>
          <w:rFonts w:hint="eastAsia" w:eastAsia="宋体"/>
          <w:sz w:val="21"/>
          <w:szCs w:val="22"/>
          <w:lang w:val="en-US" w:eastAsia="zh-CN"/>
        </w:rPr>
        <w:t>There are 7 probes in the figure 2 but each model corresponds to 6 of them. Five of the probe</w:t>
      </w:r>
      <w:r>
        <w:rPr>
          <w:rFonts w:eastAsia="宋体"/>
          <w:sz w:val="21"/>
          <w:szCs w:val="22"/>
          <w:lang w:val="en-US" w:eastAsia="zh-CN"/>
        </w:rPr>
        <w:t>s</w:t>
      </w:r>
      <w:r>
        <w:rPr>
          <w:rFonts w:hint="eastAsia" w:eastAsia="宋体"/>
          <w:sz w:val="21"/>
          <w:szCs w:val="22"/>
          <w:lang w:val="en-US" w:eastAsia="zh-CN"/>
        </w:rPr>
        <w:t xml:space="preserve"> are shared by two models and a one-two switch is enough to realize the probe layout switch for different models. The probe locations is shown in table 2.</w:t>
      </w:r>
    </w:p>
    <w:p>
      <w:pPr>
        <w:jc w:val="center"/>
        <w:rPr>
          <w:rFonts w:eastAsia="宋体"/>
          <w:sz w:val="21"/>
          <w:szCs w:val="22"/>
          <w:lang w:val="en-US" w:eastAsia="zh-CN"/>
        </w:rPr>
      </w:pPr>
      <w:r>
        <w:rPr>
          <w:rFonts w:hint="eastAsia" w:eastAsia="宋体"/>
          <w:b/>
          <w:bCs/>
          <w:sz w:val="21"/>
          <w:szCs w:val="22"/>
          <w:lang w:val="en-US" w:eastAsia="zh-CN"/>
        </w:rPr>
        <w:t>Table 2</w:t>
      </w:r>
      <w:r>
        <w:rPr>
          <w:rFonts w:hint="eastAsia" w:eastAsia="宋体"/>
          <w:sz w:val="21"/>
          <w:szCs w:val="22"/>
          <w:lang w:val="en-US" w:eastAsia="zh-CN"/>
        </w:rPr>
        <w:t>. Probe location of Fig. 2</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1"/>
        <w:gridCol w:w="1231"/>
        <w:gridCol w:w="1231"/>
        <w:gridCol w:w="1231"/>
        <w:gridCol w:w="1231"/>
        <w:gridCol w:w="1108"/>
        <w:gridCol w:w="1264"/>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center"/>
          </w:tcPr>
          <w:p>
            <w:pPr>
              <w:jc w:val="center"/>
              <w:rPr>
                <w:rFonts w:eastAsia="宋体"/>
                <w:sz w:val="21"/>
                <w:szCs w:val="22"/>
                <w:lang w:val="en-US" w:eastAsia="zh-CN"/>
              </w:rPr>
            </w:pPr>
          </w:p>
        </w:tc>
        <w:tc>
          <w:tcPr>
            <w:tcW w:w="6032" w:type="dxa"/>
            <w:gridSpan w:val="5"/>
            <w:vAlign w:val="center"/>
          </w:tcPr>
          <w:p>
            <w:pPr>
              <w:jc w:val="center"/>
              <w:rPr>
                <w:rFonts w:eastAsia="宋体"/>
                <w:sz w:val="21"/>
                <w:szCs w:val="22"/>
                <w:lang w:val="en-US" w:eastAsia="zh-CN"/>
              </w:rPr>
            </w:pPr>
            <w:r>
              <w:rPr>
                <w:rFonts w:hint="eastAsia"/>
              </w:rPr>
              <w:t>Shared by two models</w:t>
            </w:r>
          </w:p>
        </w:tc>
        <w:tc>
          <w:tcPr>
            <w:tcW w:w="1264" w:type="dxa"/>
            <w:vAlign w:val="center"/>
          </w:tcPr>
          <w:p>
            <w:pPr>
              <w:jc w:val="center"/>
              <w:rPr>
                <w:rFonts w:eastAsia="宋体"/>
                <w:sz w:val="21"/>
                <w:szCs w:val="22"/>
                <w:lang w:val="en-US" w:eastAsia="zh-CN"/>
              </w:rPr>
            </w:pPr>
            <w:r>
              <w:rPr>
                <w:rFonts w:hint="eastAsia" w:eastAsia="宋体"/>
                <w:sz w:val="21"/>
                <w:szCs w:val="22"/>
                <w:lang w:val="en-US" w:eastAsia="zh-CN"/>
              </w:rPr>
              <w:t>InO CDL-A</w:t>
            </w:r>
          </w:p>
        </w:tc>
        <w:tc>
          <w:tcPr>
            <w:tcW w:w="1323" w:type="dxa"/>
            <w:vAlign w:val="center"/>
          </w:tcPr>
          <w:p>
            <w:pPr>
              <w:jc w:val="center"/>
              <w:rPr>
                <w:rFonts w:eastAsia="宋体"/>
                <w:sz w:val="21"/>
                <w:szCs w:val="22"/>
                <w:lang w:val="en-US" w:eastAsia="zh-CN"/>
              </w:rPr>
            </w:pPr>
            <w:r>
              <w:rPr>
                <w:rFonts w:hint="eastAsia" w:eastAsia="宋体"/>
                <w:sz w:val="21"/>
                <w:szCs w:val="22"/>
                <w:lang w:val="en-US" w:eastAsia="zh-CN"/>
              </w:rPr>
              <w:t>UMi CDL-C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center"/>
          </w:tcPr>
          <w:p>
            <w:pPr>
              <w:jc w:val="center"/>
              <w:rPr>
                <w:rFonts w:eastAsia="宋体"/>
                <w:sz w:val="21"/>
                <w:szCs w:val="22"/>
                <w:lang w:val="en-US" w:eastAsia="zh-CN"/>
              </w:rPr>
            </w:pPr>
            <w:r>
              <w:rPr>
                <w:rFonts w:hint="eastAsia" w:eastAsia="宋体"/>
                <w:sz w:val="21"/>
                <w:szCs w:val="22"/>
                <w:lang w:val="en-US" w:eastAsia="zh-CN"/>
              </w:rPr>
              <w:t>Azimuth</w:t>
            </w:r>
          </w:p>
        </w:tc>
        <w:tc>
          <w:tcPr>
            <w:tcW w:w="1231" w:type="dxa"/>
            <w:vAlign w:val="center"/>
          </w:tcPr>
          <w:p>
            <w:pPr>
              <w:jc w:val="center"/>
              <w:rPr>
                <w:rFonts w:eastAsia="宋体"/>
                <w:sz w:val="21"/>
                <w:szCs w:val="22"/>
                <w:lang w:val="en-US" w:eastAsia="zh-CN"/>
              </w:rPr>
            </w:pPr>
            <w:r>
              <w:rPr>
                <w:rFonts w:hint="eastAsia" w:eastAsia="宋体"/>
                <w:sz w:val="21"/>
                <w:szCs w:val="22"/>
                <w:lang w:val="en-US" w:eastAsia="zh-CN"/>
              </w:rPr>
              <w:t>-14</w:t>
            </w:r>
          </w:p>
        </w:tc>
        <w:tc>
          <w:tcPr>
            <w:tcW w:w="1231" w:type="dxa"/>
            <w:vAlign w:val="center"/>
          </w:tcPr>
          <w:p>
            <w:pPr>
              <w:jc w:val="center"/>
              <w:rPr>
                <w:rFonts w:eastAsia="宋体"/>
                <w:sz w:val="21"/>
                <w:szCs w:val="22"/>
                <w:lang w:val="en-US" w:eastAsia="zh-CN"/>
              </w:rPr>
            </w:pPr>
            <w:r>
              <w:rPr>
                <w:rFonts w:hint="eastAsia" w:eastAsia="宋体"/>
                <w:sz w:val="21"/>
                <w:szCs w:val="22"/>
                <w:lang w:val="en-US" w:eastAsia="zh-CN"/>
              </w:rPr>
              <w:t>-28</w:t>
            </w:r>
          </w:p>
        </w:tc>
        <w:tc>
          <w:tcPr>
            <w:tcW w:w="1231" w:type="dxa"/>
            <w:vAlign w:val="center"/>
          </w:tcPr>
          <w:p>
            <w:pPr>
              <w:jc w:val="center"/>
              <w:rPr>
                <w:rFonts w:eastAsia="宋体"/>
                <w:sz w:val="21"/>
                <w:szCs w:val="22"/>
                <w:lang w:val="en-US" w:eastAsia="zh-CN"/>
              </w:rPr>
            </w:pPr>
            <w:r>
              <w:rPr>
                <w:rFonts w:hint="eastAsia" w:eastAsia="宋体"/>
                <w:sz w:val="21"/>
                <w:szCs w:val="22"/>
                <w:lang w:val="en-US" w:eastAsia="zh-CN"/>
              </w:rPr>
              <w:t>-20</w:t>
            </w:r>
          </w:p>
        </w:tc>
        <w:tc>
          <w:tcPr>
            <w:tcW w:w="1231" w:type="dxa"/>
            <w:vAlign w:val="center"/>
          </w:tcPr>
          <w:p>
            <w:pPr>
              <w:jc w:val="center"/>
              <w:rPr>
                <w:rFonts w:eastAsia="宋体"/>
                <w:sz w:val="21"/>
                <w:szCs w:val="22"/>
                <w:lang w:val="en-US" w:eastAsia="zh-CN"/>
              </w:rPr>
            </w:pPr>
            <w:r>
              <w:rPr>
                <w:rFonts w:hint="eastAsia" w:eastAsia="宋体"/>
                <w:sz w:val="21"/>
                <w:szCs w:val="22"/>
                <w:lang w:val="en-US" w:eastAsia="zh-CN"/>
              </w:rPr>
              <w:t>-32</w:t>
            </w:r>
          </w:p>
        </w:tc>
        <w:tc>
          <w:tcPr>
            <w:tcW w:w="1108" w:type="dxa"/>
            <w:vAlign w:val="center"/>
          </w:tcPr>
          <w:p>
            <w:pPr>
              <w:jc w:val="center"/>
              <w:rPr>
                <w:rFonts w:eastAsia="宋体"/>
                <w:sz w:val="21"/>
                <w:szCs w:val="22"/>
                <w:lang w:val="en-US" w:eastAsia="zh-CN"/>
              </w:rPr>
            </w:pPr>
            <w:r>
              <w:rPr>
                <w:rFonts w:hint="eastAsia" w:eastAsia="宋体"/>
                <w:sz w:val="21"/>
                <w:szCs w:val="22"/>
                <w:lang w:val="en-US" w:eastAsia="zh-CN"/>
              </w:rPr>
              <w:t>-8</w:t>
            </w:r>
          </w:p>
        </w:tc>
        <w:tc>
          <w:tcPr>
            <w:tcW w:w="1264" w:type="dxa"/>
            <w:vAlign w:val="center"/>
          </w:tcPr>
          <w:p>
            <w:pPr>
              <w:jc w:val="center"/>
              <w:rPr>
                <w:rFonts w:eastAsia="宋体"/>
                <w:sz w:val="21"/>
                <w:szCs w:val="22"/>
                <w:lang w:val="en-US" w:eastAsia="zh-CN"/>
              </w:rPr>
            </w:pPr>
            <w:r>
              <w:rPr>
                <w:rFonts w:hint="eastAsia" w:eastAsia="宋体"/>
                <w:sz w:val="21"/>
                <w:szCs w:val="22"/>
                <w:lang w:val="en-US" w:eastAsia="zh-CN"/>
              </w:rPr>
              <w:t>-20</w:t>
            </w:r>
          </w:p>
        </w:tc>
        <w:tc>
          <w:tcPr>
            <w:tcW w:w="1323" w:type="dxa"/>
            <w:vAlign w:val="center"/>
          </w:tcPr>
          <w:p>
            <w:pPr>
              <w:jc w:val="center"/>
              <w:rPr>
                <w:rFonts w:eastAsia="宋体"/>
                <w:sz w:val="21"/>
                <w:szCs w:val="22"/>
                <w:lang w:val="en-US" w:eastAsia="zh-CN"/>
              </w:rPr>
            </w:pPr>
            <w:r>
              <w:rPr>
                <w:rFonts w:hint="eastAsia" w:eastAsia="宋体"/>
                <w:sz w:val="21"/>
                <w:szCs w:val="22"/>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center"/>
          </w:tcPr>
          <w:p>
            <w:pPr>
              <w:jc w:val="center"/>
              <w:rPr>
                <w:rFonts w:eastAsia="宋体"/>
                <w:sz w:val="21"/>
                <w:szCs w:val="22"/>
                <w:lang w:val="en-US" w:eastAsia="zh-CN"/>
              </w:rPr>
            </w:pPr>
            <w:r>
              <w:rPr>
                <w:rFonts w:hint="eastAsia" w:eastAsia="宋体"/>
                <w:sz w:val="21"/>
                <w:szCs w:val="22"/>
                <w:lang w:val="en-US" w:eastAsia="zh-CN"/>
              </w:rPr>
              <w:t>Elevation</w:t>
            </w:r>
          </w:p>
        </w:tc>
        <w:tc>
          <w:tcPr>
            <w:tcW w:w="1231" w:type="dxa"/>
            <w:vAlign w:val="center"/>
          </w:tcPr>
          <w:p>
            <w:pPr>
              <w:jc w:val="center"/>
              <w:rPr>
                <w:rFonts w:eastAsia="宋体"/>
                <w:sz w:val="21"/>
                <w:szCs w:val="22"/>
                <w:lang w:val="en-US" w:eastAsia="zh-CN"/>
              </w:rPr>
            </w:pPr>
            <w:r>
              <w:rPr>
                <w:rFonts w:hint="eastAsia" w:eastAsia="宋体"/>
                <w:sz w:val="21"/>
                <w:szCs w:val="22"/>
                <w:lang w:val="en-US" w:eastAsia="zh-CN"/>
              </w:rPr>
              <w:t>16</w:t>
            </w:r>
          </w:p>
        </w:tc>
        <w:tc>
          <w:tcPr>
            <w:tcW w:w="1231" w:type="dxa"/>
            <w:vAlign w:val="center"/>
          </w:tcPr>
          <w:p>
            <w:pPr>
              <w:jc w:val="center"/>
              <w:rPr>
                <w:rFonts w:eastAsia="宋体"/>
                <w:sz w:val="21"/>
                <w:szCs w:val="22"/>
                <w:lang w:val="en-US" w:eastAsia="zh-CN"/>
              </w:rPr>
            </w:pPr>
            <w:r>
              <w:rPr>
                <w:rFonts w:hint="eastAsia" w:eastAsia="宋体"/>
                <w:sz w:val="21"/>
                <w:szCs w:val="22"/>
                <w:lang w:val="en-US" w:eastAsia="zh-CN"/>
              </w:rPr>
              <w:t>18</w:t>
            </w:r>
          </w:p>
        </w:tc>
        <w:tc>
          <w:tcPr>
            <w:tcW w:w="1231" w:type="dxa"/>
            <w:vAlign w:val="center"/>
          </w:tcPr>
          <w:p>
            <w:pPr>
              <w:jc w:val="center"/>
              <w:rPr>
                <w:rFonts w:eastAsia="宋体"/>
                <w:sz w:val="21"/>
                <w:szCs w:val="22"/>
                <w:lang w:val="en-US" w:eastAsia="zh-CN"/>
              </w:rPr>
            </w:pPr>
            <w:r>
              <w:rPr>
                <w:rFonts w:hint="eastAsia" w:eastAsia="宋体"/>
                <w:sz w:val="21"/>
                <w:szCs w:val="22"/>
                <w:lang w:val="en-US" w:eastAsia="zh-CN"/>
              </w:rPr>
              <w:t>10</w:t>
            </w:r>
          </w:p>
        </w:tc>
        <w:tc>
          <w:tcPr>
            <w:tcW w:w="1231" w:type="dxa"/>
            <w:vAlign w:val="center"/>
          </w:tcPr>
          <w:p>
            <w:pPr>
              <w:jc w:val="center"/>
              <w:rPr>
                <w:rFonts w:eastAsia="宋体"/>
                <w:sz w:val="21"/>
                <w:szCs w:val="22"/>
                <w:lang w:val="en-US" w:eastAsia="zh-CN"/>
              </w:rPr>
            </w:pPr>
            <w:r>
              <w:rPr>
                <w:rFonts w:hint="eastAsia" w:eastAsia="宋体"/>
                <w:sz w:val="21"/>
                <w:szCs w:val="22"/>
                <w:lang w:val="en-US" w:eastAsia="zh-CN"/>
              </w:rPr>
              <w:t>10</w:t>
            </w:r>
          </w:p>
        </w:tc>
        <w:tc>
          <w:tcPr>
            <w:tcW w:w="1108" w:type="dxa"/>
            <w:vAlign w:val="center"/>
          </w:tcPr>
          <w:p>
            <w:pPr>
              <w:jc w:val="center"/>
              <w:rPr>
                <w:rFonts w:eastAsia="宋体"/>
                <w:sz w:val="21"/>
                <w:szCs w:val="22"/>
                <w:lang w:val="en-US" w:eastAsia="zh-CN"/>
              </w:rPr>
            </w:pPr>
            <w:r>
              <w:rPr>
                <w:rFonts w:hint="eastAsia" w:eastAsia="宋体"/>
                <w:sz w:val="21"/>
                <w:szCs w:val="22"/>
                <w:lang w:val="en-US" w:eastAsia="zh-CN"/>
              </w:rPr>
              <w:t>10</w:t>
            </w:r>
          </w:p>
        </w:tc>
        <w:tc>
          <w:tcPr>
            <w:tcW w:w="1264" w:type="dxa"/>
            <w:vAlign w:val="center"/>
          </w:tcPr>
          <w:p>
            <w:pPr>
              <w:jc w:val="center"/>
              <w:rPr>
                <w:rFonts w:eastAsia="宋体"/>
                <w:sz w:val="21"/>
                <w:szCs w:val="22"/>
                <w:lang w:val="en-US" w:eastAsia="zh-CN"/>
              </w:rPr>
            </w:pPr>
            <w:r>
              <w:rPr>
                <w:rFonts w:hint="eastAsia" w:eastAsia="宋体"/>
                <w:sz w:val="21"/>
                <w:szCs w:val="22"/>
                <w:lang w:val="en-US" w:eastAsia="zh-CN"/>
              </w:rPr>
              <w:t>22</w:t>
            </w:r>
          </w:p>
        </w:tc>
        <w:tc>
          <w:tcPr>
            <w:tcW w:w="1323" w:type="dxa"/>
            <w:vAlign w:val="center"/>
          </w:tcPr>
          <w:p>
            <w:pPr>
              <w:jc w:val="center"/>
              <w:rPr>
                <w:rFonts w:eastAsia="宋体"/>
                <w:sz w:val="21"/>
                <w:szCs w:val="22"/>
                <w:lang w:val="en-US" w:eastAsia="zh-CN"/>
              </w:rPr>
            </w:pPr>
            <w:r>
              <w:rPr>
                <w:rFonts w:hint="eastAsia" w:eastAsia="宋体"/>
                <w:sz w:val="21"/>
                <w:szCs w:val="22"/>
                <w:lang w:val="en-US" w:eastAsia="zh-CN"/>
              </w:rPr>
              <w:t>22</w:t>
            </w:r>
          </w:p>
        </w:tc>
      </w:tr>
    </w:tbl>
    <w:p>
      <w:pPr>
        <w:jc w:val="both"/>
        <w:rPr>
          <w:rFonts w:eastAsia="宋体"/>
          <w:sz w:val="21"/>
          <w:szCs w:val="22"/>
          <w:lang w:val="en-US" w:eastAsia="zh-CN"/>
        </w:rPr>
      </w:pPr>
    </w:p>
    <w:p>
      <w:pPr>
        <w:jc w:val="both"/>
        <w:rPr>
          <w:rFonts w:eastAsia="宋体"/>
          <w:sz w:val="21"/>
          <w:szCs w:val="22"/>
          <w:lang w:val="en-US" w:eastAsia="zh-CN"/>
        </w:rPr>
      </w:pPr>
      <w:r>
        <w:rPr>
          <w:rFonts w:hint="eastAsia" w:eastAsia="宋体"/>
          <w:b/>
          <w:bCs/>
          <w:sz w:val="21"/>
          <w:szCs w:val="22"/>
          <w:lang w:val="en-US" w:eastAsia="zh-CN"/>
        </w:rPr>
        <w:t>Proposal 1</w:t>
      </w:r>
      <w:r>
        <w:rPr>
          <w:rFonts w:hint="eastAsia" w:eastAsia="宋体"/>
          <w:sz w:val="21"/>
          <w:szCs w:val="22"/>
          <w:lang w:val="en-US" w:eastAsia="zh-CN"/>
        </w:rPr>
        <w:t>: Adopt the probe locations tabulated in table 2 for the FR2 3D MPAC System.</w:t>
      </w:r>
    </w:p>
    <w:p>
      <w:pPr>
        <w:rPr>
          <w:rFonts w:eastAsia="宋体"/>
          <w:sz w:val="21"/>
          <w:szCs w:val="22"/>
          <w:lang w:val="en-US" w:eastAsia="zh-CN"/>
        </w:rPr>
      </w:pPr>
      <w:r>
        <w:rPr>
          <w:rFonts w:hint="eastAsia" w:eastAsia="宋体"/>
          <w:sz w:val="21"/>
          <w:szCs w:val="22"/>
          <w:lang w:val="en-US" w:eastAsia="zh-CN"/>
        </w:rPr>
        <w:t>PSP limits is another important parameters that need to be determined. In this proposal, we calculated the PSP value of all points in the test area under different range length and give the PSP limits for InO CDL-A and UMi CDL-C. The sampling method of the test area is the same as that described in [1].</w:t>
      </w:r>
    </w:p>
    <w:p>
      <w:pPr>
        <w:jc w:val="center"/>
        <w:rPr>
          <w:rFonts w:eastAsia="宋体"/>
          <w:sz w:val="21"/>
          <w:szCs w:val="22"/>
          <w:lang w:val="en-US" w:eastAsia="zh-CN"/>
        </w:rPr>
      </w:pPr>
      <w:r>
        <w:rPr>
          <w:rFonts w:hint="eastAsia" w:eastAsia="宋体"/>
          <w:sz w:val="21"/>
          <w:szCs w:val="22"/>
          <w:lang w:val="en-US" w:eastAsia="zh-CN"/>
        </w:rPr>
        <w:drawing>
          <wp:inline distT="0" distB="0" distL="114300" distR="114300">
            <wp:extent cx="2663825" cy="1997710"/>
            <wp:effectExtent l="0" t="0" r="3175" b="2540"/>
            <wp:docPr id="7" name="图片 7" descr="CDL_A_PS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DL_A_PSP"/>
                    <pic:cNvPicPr>
                      <a:picLocks noChangeAspect="1"/>
                    </pic:cNvPicPr>
                  </pic:nvPicPr>
                  <pic:blipFill>
                    <a:blip r:embed="rId9"/>
                    <a:stretch>
                      <a:fillRect/>
                    </a:stretch>
                  </pic:blipFill>
                  <pic:spPr>
                    <a:xfrm>
                      <a:off x="0" y="0"/>
                      <a:ext cx="2663825" cy="1997710"/>
                    </a:xfrm>
                    <a:prstGeom prst="rect">
                      <a:avLst/>
                    </a:prstGeom>
                  </pic:spPr>
                </pic:pic>
              </a:graphicData>
            </a:graphic>
          </wp:inline>
        </w:drawing>
      </w:r>
      <w:r>
        <w:rPr>
          <w:rFonts w:hint="eastAsia" w:eastAsia="宋体"/>
          <w:sz w:val="21"/>
          <w:szCs w:val="22"/>
          <w:lang w:val="en-US" w:eastAsia="zh-CN"/>
        </w:rPr>
        <w:drawing>
          <wp:inline distT="0" distB="0" distL="114300" distR="114300">
            <wp:extent cx="2663825" cy="1997710"/>
            <wp:effectExtent l="0" t="0" r="3175" b="2540"/>
            <wp:docPr id="6" name="图片 6" descr="CDL_C_PS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DL_C_PSP"/>
                    <pic:cNvPicPr>
                      <a:picLocks noChangeAspect="1"/>
                    </pic:cNvPicPr>
                  </pic:nvPicPr>
                  <pic:blipFill>
                    <a:blip r:embed="rId10"/>
                    <a:stretch>
                      <a:fillRect/>
                    </a:stretch>
                  </pic:blipFill>
                  <pic:spPr>
                    <a:xfrm>
                      <a:off x="0" y="0"/>
                      <a:ext cx="2663825" cy="1997710"/>
                    </a:xfrm>
                    <a:prstGeom prst="rect">
                      <a:avLst/>
                    </a:prstGeom>
                  </pic:spPr>
                </pic:pic>
              </a:graphicData>
            </a:graphic>
          </wp:inline>
        </w:drawing>
      </w:r>
    </w:p>
    <w:p>
      <w:pPr>
        <w:numPr>
          <w:ilvl w:val="0"/>
          <w:numId w:val="2"/>
        </w:numPr>
        <w:rPr>
          <w:rFonts w:eastAsia="宋体"/>
          <w:sz w:val="21"/>
          <w:szCs w:val="22"/>
          <w:lang w:val="en-US" w:eastAsia="zh-CN"/>
        </w:rPr>
      </w:pPr>
      <w:r>
        <w:rPr>
          <w:rFonts w:hint="eastAsia" w:eastAsia="宋体"/>
          <w:sz w:val="21"/>
          <w:szCs w:val="22"/>
          <w:lang w:val="en-US" w:eastAsia="zh-CN"/>
        </w:rPr>
        <w:t xml:space="preserve">                                                                           (b)</w:t>
      </w:r>
    </w:p>
    <w:p>
      <w:pPr>
        <w:jc w:val="center"/>
        <w:rPr>
          <w:rFonts w:eastAsia="宋体"/>
          <w:sz w:val="21"/>
          <w:szCs w:val="22"/>
          <w:lang w:val="en-US" w:eastAsia="zh-CN"/>
        </w:rPr>
      </w:pPr>
      <w:r>
        <w:rPr>
          <w:rFonts w:hint="eastAsia" w:eastAsia="宋体"/>
          <w:b/>
          <w:bCs/>
          <w:sz w:val="21"/>
          <w:szCs w:val="22"/>
          <w:lang w:val="en-US" w:eastAsia="zh-CN"/>
        </w:rPr>
        <w:t>Figure 3</w:t>
      </w:r>
      <w:r>
        <w:rPr>
          <w:rFonts w:hint="eastAsia" w:eastAsia="宋体"/>
          <w:sz w:val="21"/>
          <w:szCs w:val="22"/>
          <w:lang w:val="en-US" w:eastAsia="zh-CN"/>
        </w:rPr>
        <w:t>. The CDF of PSP for the down selected models with range length 0.75m and 1m.(a) InO CDL-A. (b)UMi CDL-B</w:t>
      </w:r>
    </w:p>
    <w:bookmarkEnd w:id="2"/>
    <w:p>
      <w:pPr>
        <w:pStyle w:val="28"/>
        <w:rPr>
          <w:rFonts w:eastAsia="宋体"/>
          <w:b w:val="0"/>
          <w:lang w:val="en-US" w:eastAsia="zh-CN"/>
        </w:rPr>
      </w:pPr>
      <w:r>
        <w:rPr>
          <w:rFonts w:hint="eastAsia" w:eastAsia="宋体"/>
          <w:b w:val="0"/>
          <w:sz w:val="21"/>
          <w:szCs w:val="22"/>
          <w:lang w:val="en-US" w:eastAsia="zh-CN"/>
        </w:rPr>
        <w:t>Comparing</w:t>
      </w:r>
      <w:r>
        <w:rPr>
          <w:rFonts w:hint="eastAsia" w:eastAsia="宋体"/>
          <w:b w:val="0"/>
          <w:lang w:val="en-US" w:eastAsia="zh-CN"/>
        </w:rPr>
        <w:t xml:space="preserve"> </w:t>
      </w:r>
      <w:r>
        <w:rPr>
          <w:rFonts w:hint="eastAsia" w:eastAsia="宋体"/>
          <w:b w:val="0"/>
          <w:sz w:val="21"/>
          <w:szCs w:val="22"/>
          <w:lang w:val="en-US" w:eastAsia="zh-CN"/>
        </w:rPr>
        <w:t>the</w:t>
      </w:r>
      <w:r>
        <w:rPr>
          <w:rFonts w:hint="eastAsia" w:eastAsia="宋体"/>
          <w:b w:val="0"/>
          <w:lang w:val="en-US" w:eastAsia="zh-CN"/>
        </w:rPr>
        <w:t xml:space="preserve"> mean PSP value to [2], we found the results of UMi CDL-C are aligned but the results of  InO CDL-A is better in </w:t>
      </w:r>
      <w:r>
        <w:rPr>
          <w:rFonts w:eastAsia="宋体"/>
          <w:b w:val="0"/>
          <w:lang w:val="en-US" w:eastAsia="zh-CN"/>
        </w:rPr>
        <w:t>our</w:t>
      </w:r>
      <w:r>
        <w:rPr>
          <w:rFonts w:hint="eastAsia" w:eastAsia="宋体"/>
          <w:b w:val="0"/>
          <w:lang w:val="en-US" w:eastAsia="zh-CN"/>
        </w:rPr>
        <w:t xml:space="preserve"> proposal.</w:t>
      </w:r>
      <w:r>
        <w:rPr>
          <w:rFonts w:eastAsia="宋体"/>
          <w:b w:val="0"/>
          <w:lang w:val="en-US" w:eastAsia="zh-CN"/>
        </w:rPr>
        <w:t xml:space="preserve"> Only 1 extra probe and 1 switch are needed. Therefore, the additional cost can be ignored.</w:t>
      </w:r>
    </w:p>
    <w:p>
      <w:pPr>
        <w:pStyle w:val="28"/>
        <w:rPr>
          <w:rFonts w:eastAsia="宋体"/>
          <w:b w:val="0"/>
          <w:lang w:val="en-US" w:eastAsia="zh-CN"/>
        </w:rPr>
      </w:pPr>
    </w:p>
    <w:p>
      <w:pPr>
        <w:pStyle w:val="28"/>
        <w:rPr>
          <w:rFonts w:eastAsia="宋体"/>
          <w:b w:val="0"/>
          <w:lang w:val="en-US" w:eastAsia="zh-CN"/>
        </w:rPr>
      </w:pPr>
      <w:r>
        <w:rPr>
          <w:rFonts w:hint="eastAsia" w:eastAsia="宋体"/>
          <w:bCs/>
          <w:lang w:val="en-US" w:eastAsia="zh-CN"/>
        </w:rPr>
        <w:t>Proposal 2</w:t>
      </w:r>
      <w:r>
        <w:rPr>
          <w:rFonts w:hint="eastAsia" w:eastAsia="宋体"/>
          <w:b w:val="0"/>
          <w:lang w:val="en-US" w:eastAsia="zh-CN"/>
        </w:rPr>
        <w:t>:  The PSP limits for InO CDL-A is 85% with range length of 0.75m and 89% with range length of 1m.</w:t>
      </w:r>
    </w:p>
    <w:p>
      <w:pPr>
        <w:pStyle w:val="28"/>
        <w:rPr>
          <w:lang w:val="en-US" w:eastAsia="zh-CN"/>
        </w:rPr>
      </w:pPr>
      <w:r>
        <w:rPr>
          <w:rFonts w:hint="eastAsia" w:eastAsia="宋体"/>
          <w:bCs/>
          <w:lang w:val="en-US" w:eastAsia="zh-CN"/>
        </w:rPr>
        <w:t>Proposal 3</w:t>
      </w:r>
      <w:r>
        <w:rPr>
          <w:rFonts w:hint="eastAsia" w:eastAsia="宋体"/>
          <w:b w:val="0"/>
          <w:lang w:val="en-US" w:eastAsia="zh-CN"/>
        </w:rPr>
        <w:t>:  The PSP limits for Umi CDL-C is 86% with range length of 0.75m and 89% with range length of 1m.</w:t>
      </w:r>
    </w:p>
    <w:p>
      <w:pPr>
        <w:pStyle w:val="2"/>
        <w:ind w:left="567" w:hanging="567"/>
      </w:pPr>
      <w:r>
        <w:t>Conclusion</w:t>
      </w:r>
    </w:p>
    <w:p>
      <w:pPr>
        <w:rPr>
          <w:rFonts w:eastAsia="宋体"/>
          <w:lang w:val="en-US" w:eastAsia="zh-CN"/>
        </w:rPr>
      </w:pPr>
      <w:r>
        <w:rPr>
          <w:rFonts w:hint="eastAsia" w:eastAsia="宋体"/>
          <w:lang w:val="en-US" w:eastAsia="zh-CN"/>
        </w:rPr>
        <w:t>This contribution propose a new probe layout and the PSP limits for InO CDL-A and UMi CDL-C.We can summarize as follows</w:t>
      </w:r>
    </w:p>
    <w:p>
      <w:pPr>
        <w:pStyle w:val="3"/>
        <w:ind w:left="0" w:firstLine="0"/>
        <w:rPr>
          <w:rFonts w:ascii="Times New Roman" w:hAnsi="Times New Roman" w:eastAsia="宋体"/>
          <w:sz w:val="21"/>
          <w:szCs w:val="22"/>
          <w:lang w:val="en-US" w:eastAsia="zh-CN"/>
        </w:rPr>
      </w:pPr>
      <w:r>
        <w:rPr>
          <w:rFonts w:hint="eastAsia" w:ascii="Times New Roman" w:hAnsi="Times New Roman" w:eastAsia="宋体"/>
          <w:b/>
          <w:bCs/>
          <w:sz w:val="21"/>
          <w:szCs w:val="22"/>
          <w:lang w:val="en-US" w:eastAsia="zh-CN"/>
        </w:rPr>
        <w:t>Observation 1</w:t>
      </w:r>
      <w:r>
        <w:rPr>
          <w:rFonts w:hint="eastAsia" w:ascii="Times New Roman" w:hAnsi="Times New Roman" w:eastAsia="宋体"/>
          <w:sz w:val="21"/>
          <w:szCs w:val="22"/>
          <w:lang w:val="en-US" w:eastAsia="zh-CN"/>
        </w:rPr>
        <w:t>: Both InO CDL-A and UMi CDL-C can be simplified with the gNb filtering and the strongest cluster has almost all power of the model.</w:t>
      </w:r>
    </w:p>
    <w:p>
      <w:pPr>
        <w:jc w:val="both"/>
        <w:rPr>
          <w:rFonts w:eastAsia="宋体"/>
          <w:sz w:val="21"/>
          <w:szCs w:val="22"/>
          <w:lang w:val="en-US" w:eastAsia="zh-CN"/>
        </w:rPr>
      </w:pPr>
      <w:r>
        <w:rPr>
          <w:rFonts w:hint="eastAsia" w:eastAsia="宋体"/>
          <w:b/>
          <w:bCs/>
          <w:sz w:val="21"/>
          <w:szCs w:val="22"/>
          <w:lang w:val="en-US" w:eastAsia="zh-CN"/>
        </w:rPr>
        <w:t>Proposal 1</w:t>
      </w:r>
      <w:r>
        <w:rPr>
          <w:rFonts w:hint="eastAsia" w:eastAsia="宋体"/>
          <w:sz w:val="21"/>
          <w:szCs w:val="22"/>
          <w:lang w:val="en-US" w:eastAsia="zh-CN"/>
        </w:rPr>
        <w:t>: Adopt the probe locations tabulated in table 2 for the FR2 3D MPAC System.</w:t>
      </w:r>
    </w:p>
    <w:p>
      <w:pPr>
        <w:pStyle w:val="28"/>
        <w:rPr>
          <w:rFonts w:eastAsia="宋体"/>
          <w:b w:val="0"/>
          <w:lang w:val="en-US" w:eastAsia="zh-CN"/>
        </w:rPr>
      </w:pPr>
      <w:r>
        <w:rPr>
          <w:rFonts w:hint="eastAsia" w:eastAsia="宋体"/>
          <w:bCs/>
          <w:lang w:val="en-US" w:eastAsia="zh-CN"/>
        </w:rPr>
        <w:t>Proposal 2</w:t>
      </w:r>
      <w:r>
        <w:rPr>
          <w:rFonts w:hint="eastAsia" w:eastAsia="宋体"/>
          <w:b w:val="0"/>
          <w:lang w:val="en-US" w:eastAsia="zh-CN"/>
        </w:rPr>
        <w:t>:  The PSP limits for InO CDL-A is 85% with range length of 0.75m and 89% with range length of 1m.</w:t>
      </w:r>
    </w:p>
    <w:p>
      <w:pPr>
        <w:pStyle w:val="28"/>
        <w:rPr>
          <w:rFonts w:eastAsia="宋体"/>
          <w:b w:val="0"/>
          <w:lang w:val="en-US" w:eastAsia="zh-CN"/>
        </w:rPr>
      </w:pPr>
      <w:r>
        <w:rPr>
          <w:rFonts w:hint="eastAsia" w:eastAsia="宋体"/>
          <w:bCs/>
          <w:lang w:val="en-US" w:eastAsia="zh-CN"/>
        </w:rPr>
        <w:t>Proposal 3</w:t>
      </w:r>
      <w:r>
        <w:rPr>
          <w:rFonts w:hint="eastAsia" w:eastAsia="宋体"/>
          <w:b w:val="0"/>
          <w:lang w:val="en-US" w:eastAsia="zh-CN"/>
        </w:rPr>
        <w:t>:  The PSP limits for Umi CDL-C is 86% with range length of 0.75m and 89% with range length of 1m.</w:t>
      </w:r>
    </w:p>
    <w:p/>
    <w:p>
      <w:pPr>
        <w:pStyle w:val="2"/>
        <w:ind w:left="567" w:hanging="567"/>
      </w:pPr>
      <w:r>
        <w:t>References</w:t>
      </w:r>
    </w:p>
    <w:p>
      <w:pPr>
        <w:numPr>
          <w:ilvl w:val="0"/>
          <w:numId w:val="3"/>
        </w:numPr>
        <w:tabs>
          <w:tab w:val="left" w:pos="426"/>
        </w:tabs>
        <w:overflowPunct w:val="0"/>
        <w:autoSpaceDE w:val="0"/>
        <w:autoSpaceDN w:val="0"/>
        <w:adjustRightInd w:val="0"/>
        <w:textAlignment w:val="baseline"/>
      </w:pPr>
      <w:bookmarkStart w:id="3" w:name="_Ref24101435"/>
      <w:r>
        <w:t>R4-1916175, “</w:t>
      </w:r>
      <w:bookmarkStart w:id="4" w:name="_Hlk23764343"/>
      <w:r>
        <w:rPr>
          <w:sz w:val="21"/>
          <w:szCs w:val="22"/>
        </w:rPr>
        <w:t>System Implementation of FR2 3D MPAC Systems</w:t>
      </w:r>
      <w:bookmarkEnd w:id="4"/>
      <w:r>
        <w:t>”, Keysight Technologies, 3GPP TSG-RAN WG4 Meeting #93, Nov 2019</w:t>
      </w:r>
    </w:p>
    <w:p>
      <w:pPr>
        <w:numPr>
          <w:ilvl w:val="0"/>
          <w:numId w:val="3"/>
        </w:numPr>
        <w:tabs>
          <w:tab w:val="left" w:pos="426"/>
        </w:tabs>
        <w:overflowPunct w:val="0"/>
        <w:autoSpaceDE w:val="0"/>
        <w:autoSpaceDN w:val="0"/>
        <w:adjustRightInd w:val="0"/>
        <w:textAlignment w:val="baseline"/>
        <w:rPr>
          <w:sz w:val="21"/>
          <w:szCs w:val="22"/>
        </w:rPr>
      </w:pPr>
      <w:r>
        <w:rPr>
          <w:rFonts w:hint="eastAsia"/>
          <w:sz w:val="21"/>
          <w:szCs w:val="22"/>
          <w:lang w:val="en-US" w:eastAsia="zh-CN"/>
        </w:rPr>
        <w:t>R4-2002478,</w:t>
      </w:r>
      <w:r>
        <w:rPr>
          <w:sz w:val="21"/>
          <w:szCs w:val="22"/>
        </w:rPr>
        <w:t>“System Implementation of FR2 3D MPAC Systems”</w:t>
      </w:r>
      <w:r>
        <w:rPr>
          <w:rFonts w:hint="eastAsia"/>
          <w:sz w:val="21"/>
          <w:szCs w:val="22"/>
          <w:lang w:val="en-US" w:eastAsia="zh-CN"/>
        </w:rPr>
        <w:t xml:space="preserve">, </w:t>
      </w:r>
      <w:r>
        <w:rPr>
          <w:sz w:val="21"/>
          <w:szCs w:val="22"/>
        </w:rPr>
        <w:t>Keysight Technologies, 3GPP TSG-RAN WG4 Meeting #</w:t>
      </w:r>
      <w:r>
        <w:rPr>
          <w:rFonts w:hint="eastAsia" w:eastAsia="宋体"/>
          <w:sz w:val="21"/>
          <w:szCs w:val="22"/>
          <w:lang w:val="en-US" w:eastAsia="zh-CN"/>
        </w:rPr>
        <w:t>94-e, 24 Feb. - 6 Mar. 2020</w:t>
      </w:r>
    </w:p>
    <w:p>
      <w:pPr>
        <w:numPr>
          <w:ilvl w:val="0"/>
          <w:numId w:val="3"/>
        </w:numPr>
        <w:tabs>
          <w:tab w:val="left" w:pos="426"/>
        </w:tabs>
        <w:overflowPunct w:val="0"/>
        <w:autoSpaceDE w:val="0"/>
        <w:autoSpaceDN w:val="0"/>
        <w:adjustRightInd w:val="0"/>
        <w:textAlignment w:val="baseline"/>
        <w:rPr>
          <w:sz w:val="21"/>
          <w:szCs w:val="22"/>
        </w:rPr>
      </w:pPr>
      <w:r>
        <w:rPr>
          <w:rFonts w:hint="eastAsia" w:eastAsia="宋体"/>
          <w:sz w:val="21"/>
          <w:szCs w:val="22"/>
          <w:lang w:val="en-US" w:eastAsia="zh-CN"/>
        </w:rPr>
        <w:t>R4-2002073,</w:t>
      </w:r>
      <w:r>
        <w:rPr>
          <w:sz w:val="21"/>
          <w:szCs w:val="22"/>
        </w:rPr>
        <w:t xml:space="preserve">“System </w:t>
      </w:r>
      <w:r>
        <w:rPr>
          <w:rFonts w:hint="eastAsia" w:eastAsia="宋体"/>
          <w:sz w:val="21"/>
          <w:szCs w:val="22"/>
          <w:lang w:val="en-US" w:eastAsia="zh-CN"/>
        </w:rPr>
        <w:t>Design and Probe layout for FR2 MPAC MIMO OTA</w:t>
      </w:r>
      <w:r>
        <w:rPr>
          <w:sz w:val="21"/>
          <w:szCs w:val="22"/>
        </w:rPr>
        <w:t>”</w:t>
      </w:r>
      <w:r>
        <w:rPr>
          <w:rFonts w:hint="eastAsia"/>
          <w:sz w:val="21"/>
          <w:szCs w:val="22"/>
          <w:lang w:val="en-US" w:eastAsia="zh-CN"/>
        </w:rPr>
        <w:t xml:space="preserve">, Spirent Communications, </w:t>
      </w:r>
      <w:r>
        <w:rPr>
          <w:sz w:val="21"/>
          <w:szCs w:val="22"/>
        </w:rPr>
        <w:t>3GPP TSG-RAN WG4 Meeting #</w:t>
      </w:r>
      <w:r>
        <w:rPr>
          <w:rFonts w:hint="eastAsia" w:eastAsia="宋体"/>
          <w:sz w:val="21"/>
          <w:szCs w:val="22"/>
          <w:lang w:val="en-US" w:eastAsia="zh-CN"/>
        </w:rPr>
        <w:t>94-e, 24 Feb. - 6 Mar. 2020</w:t>
      </w:r>
    </w:p>
    <w:p>
      <w:pPr>
        <w:numPr>
          <w:ilvl w:val="0"/>
          <w:numId w:val="3"/>
        </w:numPr>
        <w:tabs>
          <w:tab w:val="left" w:pos="426"/>
        </w:tabs>
        <w:overflowPunct w:val="0"/>
        <w:autoSpaceDE w:val="0"/>
        <w:autoSpaceDN w:val="0"/>
        <w:adjustRightInd w:val="0"/>
        <w:textAlignment w:val="baseline"/>
        <w:rPr>
          <w:sz w:val="21"/>
          <w:szCs w:val="22"/>
        </w:rPr>
      </w:pPr>
      <w:r>
        <w:rPr>
          <w:rFonts w:hint="eastAsia" w:eastAsia="宋体"/>
          <w:sz w:val="21"/>
          <w:szCs w:val="22"/>
          <w:lang w:val="en-US" w:eastAsia="zh-CN"/>
        </w:rPr>
        <w:t>R4-2002471,</w:t>
      </w:r>
      <w:r>
        <w:rPr>
          <w:sz w:val="21"/>
          <w:szCs w:val="22"/>
        </w:rPr>
        <w:t>“</w:t>
      </w:r>
      <w:r>
        <w:rPr>
          <w:rFonts w:hint="eastAsia"/>
          <w:sz w:val="21"/>
          <w:szCs w:val="22"/>
        </w:rPr>
        <w:t>WF on finalizing FR2 MIMO OTA</w:t>
      </w:r>
      <w:r>
        <w:rPr>
          <w:sz w:val="21"/>
          <w:szCs w:val="22"/>
        </w:rPr>
        <w:t>”</w:t>
      </w:r>
      <w:r>
        <w:rPr>
          <w:rFonts w:hint="eastAsia" w:eastAsia="宋体"/>
          <w:sz w:val="21"/>
          <w:szCs w:val="22"/>
          <w:lang w:val="en-US" w:eastAsia="zh-CN"/>
        </w:rPr>
        <w:t>, CAICT,</w:t>
      </w:r>
      <w:r>
        <w:rPr>
          <w:sz w:val="21"/>
          <w:szCs w:val="22"/>
        </w:rPr>
        <w:t>Keysight Technologies</w:t>
      </w:r>
      <w:r>
        <w:rPr>
          <w:rFonts w:hint="eastAsia" w:eastAsia="宋体"/>
          <w:sz w:val="21"/>
          <w:szCs w:val="22"/>
          <w:lang w:val="en-US" w:eastAsia="zh-CN"/>
        </w:rPr>
        <w:t>,</w:t>
      </w:r>
      <w:r>
        <w:rPr>
          <w:sz w:val="21"/>
          <w:szCs w:val="22"/>
        </w:rPr>
        <w:t>3GPP TSG-RAN WG4 Meeting #</w:t>
      </w:r>
      <w:r>
        <w:rPr>
          <w:rFonts w:hint="eastAsia" w:eastAsia="宋体"/>
          <w:sz w:val="21"/>
          <w:szCs w:val="22"/>
          <w:lang w:val="en-US" w:eastAsia="zh-CN"/>
        </w:rPr>
        <w:t>94-e, 24 Feb. - 6 Mar. 2020</w:t>
      </w:r>
    </w:p>
    <w:p>
      <w:pPr>
        <w:numPr>
          <w:ilvl w:val="0"/>
          <w:numId w:val="3"/>
        </w:numPr>
        <w:tabs>
          <w:tab w:val="left" w:pos="426"/>
        </w:tabs>
        <w:overflowPunct w:val="0"/>
        <w:autoSpaceDE w:val="0"/>
        <w:autoSpaceDN w:val="0"/>
        <w:adjustRightInd w:val="0"/>
        <w:textAlignment w:val="baseline"/>
      </w:pPr>
      <w:r>
        <w:rPr>
          <w:rFonts w:hint="eastAsia"/>
          <w:sz w:val="21"/>
          <w:szCs w:val="22"/>
        </w:rPr>
        <w:t>R4-1901383</w:t>
      </w:r>
      <w:r>
        <w:rPr>
          <w:rFonts w:hint="eastAsia" w:eastAsia="宋体"/>
          <w:sz w:val="21"/>
          <w:szCs w:val="22"/>
          <w:lang w:val="en-US" w:eastAsia="zh-CN"/>
        </w:rPr>
        <w:t xml:space="preserve">, </w:t>
      </w:r>
      <w:r>
        <w:rPr>
          <w:sz w:val="21"/>
          <w:szCs w:val="22"/>
        </w:rPr>
        <w:t>“</w:t>
      </w:r>
      <w:r>
        <w:rPr>
          <w:rFonts w:hint="eastAsia" w:eastAsia="宋体"/>
          <w:sz w:val="21"/>
          <w:szCs w:val="22"/>
          <w:lang w:val="en-US" w:eastAsia="zh-CN"/>
        </w:rPr>
        <w:t>WF on NR MIMO OTA</w:t>
      </w:r>
      <w:r>
        <w:rPr>
          <w:sz w:val="21"/>
          <w:szCs w:val="22"/>
        </w:rPr>
        <w:t>”</w:t>
      </w:r>
      <w:r>
        <w:rPr>
          <w:rFonts w:hint="eastAsia" w:eastAsia="宋体"/>
          <w:sz w:val="21"/>
          <w:szCs w:val="22"/>
          <w:lang w:val="en-US" w:eastAsia="zh-CN"/>
        </w:rPr>
        <w:t xml:space="preserve">,CAICT, Keysight, Spirent, </w:t>
      </w:r>
      <w:r>
        <w:rPr>
          <w:rFonts w:hint="eastAsia"/>
          <w:sz w:val="21"/>
          <w:szCs w:val="22"/>
        </w:rPr>
        <w:t>3GPP TSG-RAN WG4 Meeting #90</w:t>
      </w:r>
      <w:r>
        <w:rPr>
          <w:rFonts w:hint="eastAsia" w:eastAsia="宋体"/>
          <w:sz w:val="21"/>
          <w:szCs w:val="22"/>
          <w:lang w:val="en-US" w:eastAsia="zh-CN"/>
        </w:rPr>
        <w:t>,</w:t>
      </w:r>
      <w:r>
        <w:rPr>
          <w:rFonts w:hint="eastAsia"/>
          <w:sz w:val="21"/>
          <w:szCs w:val="22"/>
        </w:rPr>
        <w:t>25th Feb – 1st March, 2019</w:t>
      </w:r>
      <w:bookmarkEnd w:id="3"/>
    </w:p>
    <w:sectPr>
      <w:footnotePr>
        <w:numRestart w:val="eachSect"/>
      </w:footnotePr>
      <w:pgSz w:w="11907" w:h="16840"/>
      <w:pgMar w:top="1416" w:right="1133" w:bottom="1133" w:left="1133" w:header="850" w:footer="340" w:gutter="0"/>
      <w:cols w:space="720" w:num="1"/>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Kozuka Mincho Pro M"/>
    <w:panose1 w:val="02020609040205080304"/>
    <w:charset w:val="80"/>
    <w:family w:val="modern"/>
    <w:pitch w:val="default"/>
    <w:sig w:usb0="00000000" w:usb1="00000000" w:usb2="00000012" w:usb3="00000000" w:csb0="0002009F" w:csb1="00000000"/>
  </w:font>
  <w:font w:name="Batang">
    <w:altName w:val="Adobe Myungjo Std M"/>
    <w:panose1 w:val="02030600000101010101"/>
    <w:charset w:val="81"/>
    <w:family w:val="auto"/>
    <w:pitch w:val="default"/>
    <w:sig w:usb0="00000000" w:usb1="0000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08AA"/>
    <w:multiLevelType w:val="multilevel"/>
    <w:tmpl w:val="00DB08AA"/>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5191E0C6"/>
    <w:multiLevelType w:val="singleLevel"/>
    <w:tmpl w:val="5191E0C6"/>
    <w:lvl w:ilvl="0" w:tentative="0">
      <w:start w:val="1"/>
      <w:numFmt w:val="lowerLetter"/>
      <w:suff w:val="space"/>
      <w:lvlText w:val="(%1)"/>
      <w:lvlJc w:val="left"/>
      <w:pPr>
        <w:ind w:left="2677" w:firstLine="0"/>
      </w:pPr>
    </w:lvl>
  </w:abstractNum>
  <w:abstractNum w:abstractNumId="2">
    <w:nsid w:val="534B328A"/>
    <w:multiLevelType w:val="multilevel"/>
    <w:tmpl w:val="534B328A"/>
    <w:lvl w:ilvl="0" w:tentative="0">
      <w:start w:val="1"/>
      <w:numFmt w:val="decimal"/>
      <w:pStyle w:val="109"/>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800"/>
    <w:rsid w:val="000078E2"/>
    <w:rsid w:val="00011F6E"/>
    <w:rsid w:val="000136CE"/>
    <w:rsid w:val="00015E33"/>
    <w:rsid w:val="00017A04"/>
    <w:rsid w:val="00017C05"/>
    <w:rsid w:val="000200FB"/>
    <w:rsid w:val="0002191D"/>
    <w:rsid w:val="00023641"/>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4316"/>
    <w:rsid w:val="00077333"/>
    <w:rsid w:val="00081419"/>
    <w:rsid w:val="00082566"/>
    <w:rsid w:val="00083540"/>
    <w:rsid w:val="00084983"/>
    <w:rsid w:val="00087F53"/>
    <w:rsid w:val="00093E7E"/>
    <w:rsid w:val="00096BA1"/>
    <w:rsid w:val="00096EE4"/>
    <w:rsid w:val="000A12C7"/>
    <w:rsid w:val="000A2A86"/>
    <w:rsid w:val="000A363B"/>
    <w:rsid w:val="000A43B4"/>
    <w:rsid w:val="000B25D3"/>
    <w:rsid w:val="000C2440"/>
    <w:rsid w:val="000C3463"/>
    <w:rsid w:val="000C640F"/>
    <w:rsid w:val="000D39C6"/>
    <w:rsid w:val="000D48D5"/>
    <w:rsid w:val="000D6B5D"/>
    <w:rsid w:val="000D6B69"/>
    <w:rsid w:val="000D6CFC"/>
    <w:rsid w:val="000E2289"/>
    <w:rsid w:val="000E24A4"/>
    <w:rsid w:val="000E31C7"/>
    <w:rsid w:val="00114DB9"/>
    <w:rsid w:val="001174D8"/>
    <w:rsid w:val="00121323"/>
    <w:rsid w:val="00122845"/>
    <w:rsid w:val="00124141"/>
    <w:rsid w:val="001258E2"/>
    <w:rsid w:val="00127E1A"/>
    <w:rsid w:val="0013001E"/>
    <w:rsid w:val="00130A4D"/>
    <w:rsid w:val="0014005E"/>
    <w:rsid w:val="00140084"/>
    <w:rsid w:val="0014206F"/>
    <w:rsid w:val="001423A1"/>
    <w:rsid w:val="001430FC"/>
    <w:rsid w:val="001458A3"/>
    <w:rsid w:val="00150099"/>
    <w:rsid w:val="00152172"/>
    <w:rsid w:val="00153528"/>
    <w:rsid w:val="00153D78"/>
    <w:rsid w:val="00157AD8"/>
    <w:rsid w:val="001621B4"/>
    <w:rsid w:val="00166A36"/>
    <w:rsid w:val="001741AE"/>
    <w:rsid w:val="001758FB"/>
    <w:rsid w:val="00196F9F"/>
    <w:rsid w:val="001A08AA"/>
    <w:rsid w:val="001A17A5"/>
    <w:rsid w:val="001A2BC5"/>
    <w:rsid w:val="001A2EF9"/>
    <w:rsid w:val="001A3120"/>
    <w:rsid w:val="001A3BFA"/>
    <w:rsid w:val="001A52A9"/>
    <w:rsid w:val="001B2108"/>
    <w:rsid w:val="001B231F"/>
    <w:rsid w:val="001B6A72"/>
    <w:rsid w:val="001C00AA"/>
    <w:rsid w:val="001C0CFD"/>
    <w:rsid w:val="001C12EF"/>
    <w:rsid w:val="001C3A35"/>
    <w:rsid w:val="001C3CCB"/>
    <w:rsid w:val="001C4A15"/>
    <w:rsid w:val="001C687E"/>
    <w:rsid w:val="001D0D8E"/>
    <w:rsid w:val="001D7D91"/>
    <w:rsid w:val="001D7F4A"/>
    <w:rsid w:val="001E09F3"/>
    <w:rsid w:val="001E1CF6"/>
    <w:rsid w:val="001E4636"/>
    <w:rsid w:val="001E6DC6"/>
    <w:rsid w:val="001F5795"/>
    <w:rsid w:val="001F706B"/>
    <w:rsid w:val="00200996"/>
    <w:rsid w:val="0020314E"/>
    <w:rsid w:val="00204999"/>
    <w:rsid w:val="00204A59"/>
    <w:rsid w:val="00204DD8"/>
    <w:rsid w:val="00206FE6"/>
    <w:rsid w:val="0020758D"/>
    <w:rsid w:val="00207AD7"/>
    <w:rsid w:val="00210629"/>
    <w:rsid w:val="00210D55"/>
    <w:rsid w:val="0021155C"/>
    <w:rsid w:val="00212373"/>
    <w:rsid w:val="002138EA"/>
    <w:rsid w:val="00214FBD"/>
    <w:rsid w:val="00222897"/>
    <w:rsid w:val="0022419C"/>
    <w:rsid w:val="00234D1C"/>
    <w:rsid w:val="00235394"/>
    <w:rsid w:val="00235813"/>
    <w:rsid w:val="00236683"/>
    <w:rsid w:val="0023752C"/>
    <w:rsid w:val="00241A14"/>
    <w:rsid w:val="002438D7"/>
    <w:rsid w:val="00244EEE"/>
    <w:rsid w:val="0025085A"/>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A8F"/>
    <w:rsid w:val="00287C09"/>
    <w:rsid w:val="0029076F"/>
    <w:rsid w:val="00293732"/>
    <w:rsid w:val="00296B9F"/>
    <w:rsid w:val="002A27F0"/>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2F7D42"/>
    <w:rsid w:val="00300544"/>
    <w:rsid w:val="00306D8E"/>
    <w:rsid w:val="00307D2C"/>
    <w:rsid w:val="00313528"/>
    <w:rsid w:val="00315FF8"/>
    <w:rsid w:val="003209E5"/>
    <w:rsid w:val="00324F35"/>
    <w:rsid w:val="00326CFF"/>
    <w:rsid w:val="00331E19"/>
    <w:rsid w:val="00332820"/>
    <w:rsid w:val="003340C5"/>
    <w:rsid w:val="0033593B"/>
    <w:rsid w:val="00337F56"/>
    <w:rsid w:val="00342EC7"/>
    <w:rsid w:val="00344657"/>
    <w:rsid w:val="00344BCD"/>
    <w:rsid w:val="003450DD"/>
    <w:rsid w:val="00347574"/>
    <w:rsid w:val="0035338F"/>
    <w:rsid w:val="00353724"/>
    <w:rsid w:val="00353E42"/>
    <w:rsid w:val="00364DC7"/>
    <w:rsid w:val="00365EF7"/>
    <w:rsid w:val="00366F9B"/>
    <w:rsid w:val="00367724"/>
    <w:rsid w:val="003679B5"/>
    <w:rsid w:val="0037300F"/>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47D"/>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4FB2"/>
    <w:rsid w:val="00456C09"/>
    <w:rsid w:val="0046119F"/>
    <w:rsid w:val="0046266D"/>
    <w:rsid w:val="00466E59"/>
    <w:rsid w:val="004701D2"/>
    <w:rsid w:val="00470B08"/>
    <w:rsid w:val="00470E49"/>
    <w:rsid w:val="00471B36"/>
    <w:rsid w:val="00473AC0"/>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216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26C7"/>
    <w:rsid w:val="00543311"/>
    <w:rsid w:val="00546367"/>
    <w:rsid w:val="005471FE"/>
    <w:rsid w:val="00547986"/>
    <w:rsid w:val="00554A16"/>
    <w:rsid w:val="005550DD"/>
    <w:rsid w:val="005603F5"/>
    <w:rsid w:val="00560CBE"/>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A7D88"/>
    <w:rsid w:val="005C239F"/>
    <w:rsid w:val="005C331B"/>
    <w:rsid w:val="005C4593"/>
    <w:rsid w:val="005D0C4A"/>
    <w:rsid w:val="005E12CD"/>
    <w:rsid w:val="005E2985"/>
    <w:rsid w:val="005E5D66"/>
    <w:rsid w:val="005F3B1B"/>
    <w:rsid w:val="005F5081"/>
    <w:rsid w:val="00604E5F"/>
    <w:rsid w:val="00607D98"/>
    <w:rsid w:val="0061059A"/>
    <w:rsid w:val="006126CA"/>
    <w:rsid w:val="006131BB"/>
    <w:rsid w:val="00613B1E"/>
    <w:rsid w:val="00616FB0"/>
    <w:rsid w:val="006210C4"/>
    <w:rsid w:val="00622B32"/>
    <w:rsid w:val="00623DB3"/>
    <w:rsid w:val="00624D40"/>
    <w:rsid w:val="00632E56"/>
    <w:rsid w:val="00634928"/>
    <w:rsid w:val="00635671"/>
    <w:rsid w:val="00636ABD"/>
    <w:rsid w:val="00645857"/>
    <w:rsid w:val="006468DD"/>
    <w:rsid w:val="00651C2B"/>
    <w:rsid w:val="006537BF"/>
    <w:rsid w:val="00653DF0"/>
    <w:rsid w:val="006543EF"/>
    <w:rsid w:val="0065492A"/>
    <w:rsid w:val="00654D11"/>
    <w:rsid w:val="00656A7B"/>
    <w:rsid w:val="00665AD3"/>
    <w:rsid w:val="00667342"/>
    <w:rsid w:val="00683EDA"/>
    <w:rsid w:val="006856E5"/>
    <w:rsid w:val="006937D0"/>
    <w:rsid w:val="00695755"/>
    <w:rsid w:val="0069634C"/>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1040"/>
    <w:rsid w:val="0071466D"/>
    <w:rsid w:val="00714DD6"/>
    <w:rsid w:val="007162EF"/>
    <w:rsid w:val="00720148"/>
    <w:rsid w:val="00720AC9"/>
    <w:rsid w:val="007250C2"/>
    <w:rsid w:val="0072666A"/>
    <w:rsid w:val="00726FD4"/>
    <w:rsid w:val="00727352"/>
    <w:rsid w:val="00727593"/>
    <w:rsid w:val="00727A8D"/>
    <w:rsid w:val="00730547"/>
    <w:rsid w:val="007325B2"/>
    <w:rsid w:val="00735C81"/>
    <w:rsid w:val="00736A17"/>
    <w:rsid w:val="007373B0"/>
    <w:rsid w:val="007403F2"/>
    <w:rsid w:val="00741775"/>
    <w:rsid w:val="00744CC1"/>
    <w:rsid w:val="0074650E"/>
    <w:rsid w:val="00747AD4"/>
    <w:rsid w:val="00752FA3"/>
    <w:rsid w:val="00766907"/>
    <w:rsid w:val="00770A12"/>
    <w:rsid w:val="0077175E"/>
    <w:rsid w:val="00774B17"/>
    <w:rsid w:val="007756A1"/>
    <w:rsid w:val="0078088D"/>
    <w:rsid w:val="00785759"/>
    <w:rsid w:val="00785D03"/>
    <w:rsid w:val="00787964"/>
    <w:rsid w:val="007927CF"/>
    <w:rsid w:val="00797994"/>
    <w:rsid w:val="007A2502"/>
    <w:rsid w:val="007A4551"/>
    <w:rsid w:val="007A4F68"/>
    <w:rsid w:val="007A5139"/>
    <w:rsid w:val="007A5243"/>
    <w:rsid w:val="007A6059"/>
    <w:rsid w:val="007B03C6"/>
    <w:rsid w:val="007B0584"/>
    <w:rsid w:val="007B2A6C"/>
    <w:rsid w:val="007B5856"/>
    <w:rsid w:val="007B6FFB"/>
    <w:rsid w:val="007C6DD8"/>
    <w:rsid w:val="007D0054"/>
    <w:rsid w:val="007D258B"/>
    <w:rsid w:val="007D36D3"/>
    <w:rsid w:val="007D398B"/>
    <w:rsid w:val="007D3BE3"/>
    <w:rsid w:val="007D6048"/>
    <w:rsid w:val="007E2E0D"/>
    <w:rsid w:val="007E5654"/>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2AA6"/>
    <w:rsid w:val="008142CC"/>
    <w:rsid w:val="00816C9D"/>
    <w:rsid w:val="0082033D"/>
    <w:rsid w:val="0082190B"/>
    <w:rsid w:val="00826B31"/>
    <w:rsid w:val="008278A2"/>
    <w:rsid w:val="00830BED"/>
    <w:rsid w:val="00836C44"/>
    <w:rsid w:val="0083754E"/>
    <w:rsid w:val="00837660"/>
    <w:rsid w:val="00840A11"/>
    <w:rsid w:val="0084129B"/>
    <w:rsid w:val="008450F8"/>
    <w:rsid w:val="00845E55"/>
    <w:rsid w:val="00846391"/>
    <w:rsid w:val="008541B3"/>
    <w:rsid w:val="008602F7"/>
    <w:rsid w:val="00861C5F"/>
    <w:rsid w:val="00862443"/>
    <w:rsid w:val="008626D8"/>
    <w:rsid w:val="00864950"/>
    <w:rsid w:val="00870861"/>
    <w:rsid w:val="00884BE6"/>
    <w:rsid w:val="0088503C"/>
    <w:rsid w:val="00885D92"/>
    <w:rsid w:val="00892723"/>
    <w:rsid w:val="00893438"/>
    <w:rsid w:val="00893454"/>
    <w:rsid w:val="00895D05"/>
    <w:rsid w:val="00897A25"/>
    <w:rsid w:val="008A0A78"/>
    <w:rsid w:val="008A1A84"/>
    <w:rsid w:val="008A6143"/>
    <w:rsid w:val="008B0529"/>
    <w:rsid w:val="008B48E4"/>
    <w:rsid w:val="008B5C74"/>
    <w:rsid w:val="008C0793"/>
    <w:rsid w:val="008C2308"/>
    <w:rsid w:val="008C60E9"/>
    <w:rsid w:val="008C7836"/>
    <w:rsid w:val="008D7BED"/>
    <w:rsid w:val="008E4413"/>
    <w:rsid w:val="008E4684"/>
    <w:rsid w:val="008E4F84"/>
    <w:rsid w:val="008F08D9"/>
    <w:rsid w:val="008F1346"/>
    <w:rsid w:val="008F540C"/>
    <w:rsid w:val="008F5F60"/>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572"/>
    <w:rsid w:val="00957EF1"/>
    <w:rsid w:val="00964105"/>
    <w:rsid w:val="00970A06"/>
    <w:rsid w:val="0097133C"/>
    <w:rsid w:val="00972528"/>
    <w:rsid w:val="00973F6C"/>
    <w:rsid w:val="0097539D"/>
    <w:rsid w:val="009767AC"/>
    <w:rsid w:val="00976AE3"/>
    <w:rsid w:val="00980E79"/>
    <w:rsid w:val="00982B7E"/>
    <w:rsid w:val="00983910"/>
    <w:rsid w:val="00984E5F"/>
    <w:rsid w:val="009913F6"/>
    <w:rsid w:val="00992B5F"/>
    <w:rsid w:val="00997D88"/>
    <w:rsid w:val="009C0727"/>
    <w:rsid w:val="009C506A"/>
    <w:rsid w:val="009C6214"/>
    <w:rsid w:val="009D28E0"/>
    <w:rsid w:val="009D78C2"/>
    <w:rsid w:val="009D7F67"/>
    <w:rsid w:val="009E186C"/>
    <w:rsid w:val="009E3840"/>
    <w:rsid w:val="009E41C5"/>
    <w:rsid w:val="009E448E"/>
    <w:rsid w:val="009E520A"/>
    <w:rsid w:val="009E7AFD"/>
    <w:rsid w:val="009F20D3"/>
    <w:rsid w:val="00A079A7"/>
    <w:rsid w:val="00A13A50"/>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CE4"/>
    <w:rsid w:val="00A51F25"/>
    <w:rsid w:val="00A541F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40F3"/>
    <w:rsid w:val="00A97CB6"/>
    <w:rsid w:val="00AA236C"/>
    <w:rsid w:val="00AA28BF"/>
    <w:rsid w:val="00AA3D6A"/>
    <w:rsid w:val="00AA42AF"/>
    <w:rsid w:val="00AA69E4"/>
    <w:rsid w:val="00AA7233"/>
    <w:rsid w:val="00AB0C5E"/>
    <w:rsid w:val="00AB25ED"/>
    <w:rsid w:val="00AB32B3"/>
    <w:rsid w:val="00AB3F85"/>
    <w:rsid w:val="00AB4AC5"/>
    <w:rsid w:val="00AC6E03"/>
    <w:rsid w:val="00AD17B1"/>
    <w:rsid w:val="00AD4B9B"/>
    <w:rsid w:val="00AD5D94"/>
    <w:rsid w:val="00AD6C17"/>
    <w:rsid w:val="00AD768A"/>
    <w:rsid w:val="00AE116C"/>
    <w:rsid w:val="00AE342A"/>
    <w:rsid w:val="00AE627B"/>
    <w:rsid w:val="00AE6EAF"/>
    <w:rsid w:val="00AF0F4C"/>
    <w:rsid w:val="00AF3407"/>
    <w:rsid w:val="00AF5AD3"/>
    <w:rsid w:val="00B01EB4"/>
    <w:rsid w:val="00B0589A"/>
    <w:rsid w:val="00B14BC8"/>
    <w:rsid w:val="00B20C57"/>
    <w:rsid w:val="00B218F0"/>
    <w:rsid w:val="00B21D87"/>
    <w:rsid w:val="00B22ADA"/>
    <w:rsid w:val="00B24E76"/>
    <w:rsid w:val="00B30754"/>
    <w:rsid w:val="00B334B9"/>
    <w:rsid w:val="00B36208"/>
    <w:rsid w:val="00B36B07"/>
    <w:rsid w:val="00B3769C"/>
    <w:rsid w:val="00B40D30"/>
    <w:rsid w:val="00B426E8"/>
    <w:rsid w:val="00B42B91"/>
    <w:rsid w:val="00B478AC"/>
    <w:rsid w:val="00B55D9A"/>
    <w:rsid w:val="00B5661F"/>
    <w:rsid w:val="00B6044F"/>
    <w:rsid w:val="00B60717"/>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1CA"/>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E7AFF"/>
    <w:rsid w:val="00BF5875"/>
    <w:rsid w:val="00C01AD5"/>
    <w:rsid w:val="00C01D4A"/>
    <w:rsid w:val="00C050BC"/>
    <w:rsid w:val="00C050CF"/>
    <w:rsid w:val="00C06487"/>
    <w:rsid w:val="00C065DE"/>
    <w:rsid w:val="00C11EA2"/>
    <w:rsid w:val="00C1494B"/>
    <w:rsid w:val="00C14DE6"/>
    <w:rsid w:val="00C15AC6"/>
    <w:rsid w:val="00C16052"/>
    <w:rsid w:val="00C1643C"/>
    <w:rsid w:val="00C209B5"/>
    <w:rsid w:val="00C24788"/>
    <w:rsid w:val="00C26EE8"/>
    <w:rsid w:val="00C313B8"/>
    <w:rsid w:val="00C31D69"/>
    <w:rsid w:val="00C33E9F"/>
    <w:rsid w:val="00C35929"/>
    <w:rsid w:val="00C401B8"/>
    <w:rsid w:val="00C42F12"/>
    <w:rsid w:val="00C451D8"/>
    <w:rsid w:val="00C475DA"/>
    <w:rsid w:val="00C56792"/>
    <w:rsid w:val="00C6278C"/>
    <w:rsid w:val="00C63AA2"/>
    <w:rsid w:val="00C65422"/>
    <w:rsid w:val="00C6599B"/>
    <w:rsid w:val="00C73979"/>
    <w:rsid w:val="00C76F04"/>
    <w:rsid w:val="00C804C3"/>
    <w:rsid w:val="00C807DB"/>
    <w:rsid w:val="00C81268"/>
    <w:rsid w:val="00C83771"/>
    <w:rsid w:val="00C87851"/>
    <w:rsid w:val="00C93744"/>
    <w:rsid w:val="00C958F3"/>
    <w:rsid w:val="00CA1F0A"/>
    <w:rsid w:val="00CA3A27"/>
    <w:rsid w:val="00CA517A"/>
    <w:rsid w:val="00CB0D58"/>
    <w:rsid w:val="00CB29E4"/>
    <w:rsid w:val="00CB5BF2"/>
    <w:rsid w:val="00CC13EB"/>
    <w:rsid w:val="00CC15A4"/>
    <w:rsid w:val="00CC28A9"/>
    <w:rsid w:val="00CC6580"/>
    <w:rsid w:val="00CC6FE0"/>
    <w:rsid w:val="00CC75FD"/>
    <w:rsid w:val="00CD3D2E"/>
    <w:rsid w:val="00CE0386"/>
    <w:rsid w:val="00CF0031"/>
    <w:rsid w:val="00CF0C99"/>
    <w:rsid w:val="00CF46D3"/>
    <w:rsid w:val="00CF5A24"/>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2F60"/>
    <w:rsid w:val="00D7306B"/>
    <w:rsid w:val="00D73201"/>
    <w:rsid w:val="00D73647"/>
    <w:rsid w:val="00D8307F"/>
    <w:rsid w:val="00D8465F"/>
    <w:rsid w:val="00D85B5D"/>
    <w:rsid w:val="00D86E11"/>
    <w:rsid w:val="00D90F93"/>
    <w:rsid w:val="00D91F54"/>
    <w:rsid w:val="00D93835"/>
    <w:rsid w:val="00D93AE3"/>
    <w:rsid w:val="00D9442D"/>
    <w:rsid w:val="00D94F8B"/>
    <w:rsid w:val="00D95235"/>
    <w:rsid w:val="00D9763F"/>
    <w:rsid w:val="00DA50DA"/>
    <w:rsid w:val="00DA66C3"/>
    <w:rsid w:val="00DB5E7F"/>
    <w:rsid w:val="00DC176A"/>
    <w:rsid w:val="00DD0C2C"/>
    <w:rsid w:val="00DD0F6E"/>
    <w:rsid w:val="00DD1C07"/>
    <w:rsid w:val="00DD4BF9"/>
    <w:rsid w:val="00DE0E3E"/>
    <w:rsid w:val="00DE2633"/>
    <w:rsid w:val="00DF1AE6"/>
    <w:rsid w:val="00E00FCD"/>
    <w:rsid w:val="00E038CE"/>
    <w:rsid w:val="00E03F11"/>
    <w:rsid w:val="00E0463C"/>
    <w:rsid w:val="00E077C9"/>
    <w:rsid w:val="00E11C02"/>
    <w:rsid w:val="00E20333"/>
    <w:rsid w:val="00E21128"/>
    <w:rsid w:val="00E21AB4"/>
    <w:rsid w:val="00E224FC"/>
    <w:rsid w:val="00E31F57"/>
    <w:rsid w:val="00E32C2E"/>
    <w:rsid w:val="00E336C5"/>
    <w:rsid w:val="00E34794"/>
    <w:rsid w:val="00E3684B"/>
    <w:rsid w:val="00E41279"/>
    <w:rsid w:val="00E502C4"/>
    <w:rsid w:val="00E55ABC"/>
    <w:rsid w:val="00E56168"/>
    <w:rsid w:val="00E57B74"/>
    <w:rsid w:val="00E57FEF"/>
    <w:rsid w:val="00E642B3"/>
    <w:rsid w:val="00E70C18"/>
    <w:rsid w:val="00E8591D"/>
    <w:rsid w:val="00E8629F"/>
    <w:rsid w:val="00E90B54"/>
    <w:rsid w:val="00E96BC6"/>
    <w:rsid w:val="00E97AA9"/>
    <w:rsid w:val="00EA09B1"/>
    <w:rsid w:val="00EA0B7F"/>
    <w:rsid w:val="00EA3C24"/>
    <w:rsid w:val="00EA3D76"/>
    <w:rsid w:val="00EB0292"/>
    <w:rsid w:val="00EB1896"/>
    <w:rsid w:val="00EC0715"/>
    <w:rsid w:val="00EC5D60"/>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A571E"/>
    <w:rsid w:val="00FA5ED6"/>
    <w:rsid w:val="00FB2CFC"/>
    <w:rsid w:val="00FB560E"/>
    <w:rsid w:val="00FB69E7"/>
    <w:rsid w:val="00FC051F"/>
    <w:rsid w:val="00FC5F9D"/>
    <w:rsid w:val="00FD16E0"/>
    <w:rsid w:val="00FD182B"/>
    <w:rsid w:val="00FD446A"/>
    <w:rsid w:val="00FD7A87"/>
    <w:rsid w:val="00FE1522"/>
    <w:rsid w:val="00FE6645"/>
    <w:rsid w:val="00FF04B3"/>
    <w:rsid w:val="00FF3FF6"/>
    <w:rsid w:val="070407C6"/>
    <w:rsid w:val="299D797E"/>
    <w:rsid w:val="30D8335A"/>
    <w:rsid w:val="3147799C"/>
    <w:rsid w:val="3EB37460"/>
    <w:rsid w:val="3F345C7A"/>
    <w:rsid w:val="41760852"/>
    <w:rsid w:val="4C4B087B"/>
    <w:rsid w:val="514C6326"/>
    <w:rsid w:val="5A47516D"/>
    <w:rsid w:val="662760C5"/>
    <w:rsid w:val="6A8D2363"/>
    <w:rsid w:val="6E7E2E1F"/>
    <w:rsid w:val="748A4EF3"/>
    <w:rsid w:val="7509AE74"/>
    <w:rsid w:val="78A4071C"/>
    <w:rsid w:val="7A143958"/>
    <w:rsid w:val="7B460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qFormat="1" w:unhideWhenUsed="0" w:uiPriority="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uiPriority w:val="1"/>
  </w:style>
  <w:style w:type="table" w:default="1" w:styleId="4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caption"/>
    <w:basedOn w:val="1"/>
    <w:next w:val="1"/>
    <w:link w:val="107"/>
    <w:qFormat/>
    <w:uiPriority w:val="35"/>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4"/>
    <w:semiHidden/>
    <w:qFormat/>
    <w:uiPriority w:val="0"/>
  </w:style>
  <w:style w:type="paragraph" w:styleId="31">
    <w:name w:val="Body Text"/>
    <w:basedOn w:val="1"/>
    <w:qFormat/>
    <w:uiPriority w:val="0"/>
  </w:style>
  <w:style w:type="paragraph" w:styleId="32">
    <w:name w:val="Plain Text"/>
    <w:basedOn w:val="1"/>
    <w:qFormat/>
    <w:uiPriority w:val="0"/>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95"/>
    <w:qFormat/>
    <w:uiPriority w:val="0"/>
    <w:pPr>
      <w:spacing w:after="0"/>
    </w:pPr>
    <w:rPr>
      <w:rFonts w:ascii="Segoe UI" w:hAnsi="Segoe UI"/>
      <w:sz w:val="18"/>
      <w:szCs w:val="18"/>
      <w:lang w:eastAsia="zh-CN"/>
    </w:rPr>
  </w:style>
  <w:style w:type="paragraph" w:styleId="36">
    <w:name w:val="footer"/>
    <w:basedOn w:val="37"/>
    <w:uiPriority w:val="0"/>
    <w:pPr>
      <w:jc w:val="center"/>
    </w:pPr>
    <w:rPr>
      <w:i/>
    </w:rPr>
  </w:style>
  <w:style w:type="paragraph" w:styleId="37">
    <w:name w:val="header"/>
    <w:qFormat/>
    <w:uiPriority w:val="0"/>
    <w:pPr>
      <w:widowControl w:val="0"/>
    </w:pPr>
    <w:rPr>
      <w:rFonts w:ascii="Arial" w:hAnsi="Arial" w:eastAsia="Malgun Gothic" w:cs="Times New Roman"/>
      <w:b/>
      <w:sz w:val="18"/>
      <w:lang w:val="en-GB" w:eastAsia="en-US" w:bidi="ar-SA"/>
    </w:rPr>
  </w:style>
  <w:style w:type="paragraph" w:styleId="38">
    <w:name w:val="index heading"/>
    <w:basedOn w:val="1"/>
    <w:next w:val="1"/>
    <w:semiHidden/>
    <w:qFormat/>
    <w:uiPriority w:val="0"/>
    <w:pPr>
      <w:pBdr>
        <w:top w:val="single" w:color="auto" w:sz="12" w:space="0"/>
      </w:pBdr>
      <w:spacing w:before="360" w:after="240"/>
    </w:pPr>
    <w:rPr>
      <w:b/>
      <w:i/>
      <w:sz w:val="26"/>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30"/>
    <w:next w:val="30"/>
    <w:link w:val="105"/>
    <w:qFormat/>
    <w:uiPriority w:val="0"/>
    <w:rPr>
      <w:b/>
      <w:bCs/>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rPr>
  </w:style>
  <w:style w:type="character" w:styleId="52">
    <w:name w:val="footnote reference"/>
    <w:semiHidden/>
    <w:qFormat/>
    <w:uiPriority w:val="0"/>
    <w:rPr>
      <w:b/>
      <w:position w:val="6"/>
      <w:sz w:val="16"/>
    </w:rPr>
  </w:style>
  <w:style w:type="paragraph" w:customStyle="1" w:styleId="53">
    <w:name w:val="EQ"/>
    <w:basedOn w:val="1"/>
    <w:next w:val="1"/>
    <w:link w:val="106"/>
    <w:qFormat/>
    <w:uiPriority w:val="0"/>
    <w:pPr>
      <w:keepLines/>
      <w:tabs>
        <w:tab w:val="center" w:pos="4536"/>
        <w:tab w:val="right" w:pos="9072"/>
      </w:tabs>
    </w:pPr>
  </w:style>
  <w:style w:type="character" w:customStyle="1" w:styleId="54">
    <w:name w:val="ZGSM"/>
    <w:qFormat/>
    <w:uiPriority w:val="0"/>
  </w:style>
  <w:style w:type="paragraph" w:customStyle="1" w:styleId="55">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56">
    <w:name w:val="TT"/>
    <w:basedOn w:val="2"/>
    <w:next w:val="1"/>
    <w:qFormat/>
    <w:uiPriority w:val="0"/>
    <w:pPr>
      <w:outlineLvl w:val="9"/>
    </w:pPr>
  </w:style>
  <w:style w:type="paragraph" w:customStyle="1" w:styleId="57">
    <w:name w:val="NF"/>
    <w:basedOn w:val="58"/>
    <w:qFormat/>
    <w:uiPriority w:val="0"/>
    <w:pPr>
      <w:keepNext/>
      <w:spacing w:after="0"/>
    </w:pPr>
    <w:rPr>
      <w:rFonts w:ascii="Arial" w:hAnsi="Arial"/>
      <w:sz w:val="18"/>
    </w:rPr>
  </w:style>
  <w:style w:type="paragraph" w:customStyle="1" w:styleId="58">
    <w:name w:val="NO"/>
    <w:basedOn w:val="1"/>
    <w:qFormat/>
    <w:uiPriority w:val="0"/>
    <w:pPr>
      <w:keepLines/>
      <w:ind w:left="1135" w:hanging="851"/>
    </w:pPr>
  </w:style>
  <w:style w:type="paragraph" w:customStyle="1" w:styleId="5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60">
    <w:name w:val="TAR"/>
    <w:basedOn w:val="61"/>
    <w:qFormat/>
    <w:uiPriority w:val="0"/>
    <w:pPr>
      <w:jc w:val="right"/>
    </w:pPr>
  </w:style>
  <w:style w:type="paragraph" w:customStyle="1" w:styleId="61">
    <w:name w:val="TAL"/>
    <w:basedOn w:val="1"/>
    <w:link w:val="90"/>
    <w:qFormat/>
    <w:uiPriority w:val="0"/>
    <w:pPr>
      <w:keepNext/>
      <w:keepLines/>
      <w:spacing w:after="0"/>
    </w:pPr>
    <w:rPr>
      <w:rFonts w:ascii="Arial" w:hAnsi="Arial"/>
      <w:sz w:val="18"/>
      <w:lang w:eastAsia="zh-CN"/>
    </w:rPr>
  </w:style>
  <w:style w:type="paragraph" w:customStyle="1" w:styleId="62">
    <w:name w:val="TAH"/>
    <w:basedOn w:val="63"/>
    <w:link w:val="97"/>
    <w:qFormat/>
    <w:uiPriority w:val="0"/>
    <w:rPr>
      <w:b/>
    </w:rPr>
  </w:style>
  <w:style w:type="paragraph" w:customStyle="1" w:styleId="63">
    <w:name w:val="TAC"/>
    <w:basedOn w:val="61"/>
    <w:link w:val="98"/>
    <w:qFormat/>
    <w:uiPriority w:val="0"/>
    <w:pPr>
      <w:jc w:val="center"/>
    </w:pPr>
  </w:style>
  <w:style w:type="paragraph" w:customStyle="1" w:styleId="64">
    <w:name w:val="LD"/>
    <w:qFormat/>
    <w:uiPriority w:val="0"/>
    <w:pPr>
      <w:keepNext/>
      <w:keepLines/>
      <w:spacing w:line="180" w:lineRule="exact"/>
    </w:pPr>
    <w:rPr>
      <w:rFonts w:ascii="Courier New" w:hAnsi="Courier New" w:eastAsia="Malgun Gothic" w:cs="Times New Roman"/>
      <w:lang w:val="en-GB" w:eastAsia="en-US" w:bidi="ar-SA"/>
    </w:r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NW"/>
    <w:basedOn w:val="58"/>
    <w:uiPriority w:val="0"/>
    <w:pPr>
      <w:spacing w:after="0"/>
    </w:pPr>
  </w:style>
  <w:style w:type="paragraph" w:customStyle="1" w:styleId="68">
    <w:name w:val="EW"/>
    <w:basedOn w:val="65"/>
    <w:qFormat/>
    <w:uiPriority w:val="0"/>
    <w:pPr>
      <w:spacing w:after="0"/>
    </w:pPr>
  </w:style>
  <w:style w:type="paragraph" w:customStyle="1" w:styleId="69">
    <w:name w:val="B1"/>
    <w:basedOn w:val="14"/>
    <w:link w:val="96"/>
    <w:qFormat/>
    <w:uiPriority w:val="0"/>
    <w:rPr>
      <w:lang w:eastAsia="zh-CN"/>
    </w:rPr>
  </w:style>
  <w:style w:type="paragraph" w:customStyle="1" w:styleId="70">
    <w:name w:val="Editor's Note"/>
    <w:basedOn w:val="58"/>
    <w:qFormat/>
    <w:uiPriority w:val="0"/>
    <w:rPr>
      <w:color w:val="FF0000"/>
    </w:rPr>
  </w:style>
  <w:style w:type="paragraph" w:customStyle="1" w:styleId="71">
    <w:name w:val="TH"/>
    <w:basedOn w:val="1"/>
    <w:link w:val="100"/>
    <w:qFormat/>
    <w:uiPriority w:val="0"/>
    <w:pPr>
      <w:keepNext/>
      <w:keepLines/>
      <w:spacing w:before="60"/>
      <w:jc w:val="center"/>
    </w:pPr>
    <w:rPr>
      <w:rFonts w:ascii="Arial" w:hAnsi="Arial"/>
      <w:b/>
      <w:lang w:eastAsia="zh-CN"/>
    </w:r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4">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76">
    <w:name w:val="TAN"/>
    <w:basedOn w:val="61"/>
    <w:qFormat/>
    <w:uiPriority w:val="0"/>
    <w:pPr>
      <w:ind w:left="851" w:hanging="851"/>
    </w:p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TF"/>
    <w:basedOn w:val="71"/>
    <w:link w:val="99"/>
    <w:qFormat/>
    <w:uiPriority w:val="0"/>
    <w:pPr>
      <w:keepNext w:val="0"/>
      <w:spacing w:before="0" w:after="240"/>
    </w:pPr>
  </w:style>
  <w:style w:type="paragraph" w:customStyle="1" w:styleId="79">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0">
    <w:name w:val="B2"/>
    <w:basedOn w:val="13"/>
    <w:qFormat/>
    <w:uiPriority w:val="0"/>
  </w:style>
  <w:style w:type="paragraph" w:customStyle="1" w:styleId="81">
    <w:name w:val="B3"/>
    <w:basedOn w:val="12"/>
    <w:uiPriority w:val="0"/>
  </w:style>
  <w:style w:type="paragraph" w:customStyle="1" w:styleId="82">
    <w:name w:val="B4"/>
    <w:basedOn w:val="41"/>
    <w:qFormat/>
    <w:uiPriority w:val="0"/>
  </w:style>
  <w:style w:type="paragraph" w:customStyle="1" w:styleId="83">
    <w:name w:val="B5"/>
    <w:basedOn w:val="40"/>
    <w:qFormat/>
    <w:uiPriority w:val="0"/>
  </w:style>
  <w:style w:type="paragraph" w:customStyle="1" w:styleId="84">
    <w:name w:val="ZTD"/>
    <w:basedOn w:val="73"/>
    <w:qFormat/>
    <w:uiPriority w:val="0"/>
    <w:pPr>
      <w:framePr w:hRule="auto" w:y="852"/>
    </w:pPr>
    <w:rPr>
      <w:i w:val="0"/>
      <w:sz w:val="40"/>
    </w:rPr>
  </w:style>
  <w:style w:type="paragraph" w:customStyle="1" w:styleId="85">
    <w:name w:val="ZV"/>
    <w:basedOn w:val="75"/>
    <w:qFormat/>
    <w:uiPriority w:val="0"/>
    <w:pPr>
      <w:framePr w:y="16161"/>
    </w:pPr>
  </w:style>
  <w:style w:type="paragraph" w:customStyle="1" w:styleId="86">
    <w:name w:val="INDENT1"/>
    <w:basedOn w:val="1"/>
    <w:qFormat/>
    <w:uiPriority w:val="0"/>
    <w:pPr>
      <w:ind w:left="851"/>
    </w:pPr>
  </w:style>
  <w:style w:type="paragraph" w:customStyle="1" w:styleId="87">
    <w:name w:val="INDENT2"/>
    <w:basedOn w:val="1"/>
    <w:qFormat/>
    <w:uiPriority w:val="0"/>
    <w:pPr>
      <w:ind w:left="1135" w:hanging="284"/>
    </w:pPr>
  </w:style>
  <w:style w:type="paragraph" w:customStyle="1" w:styleId="88">
    <w:name w:val="INDENT3"/>
    <w:basedOn w:val="1"/>
    <w:qFormat/>
    <w:uiPriority w:val="0"/>
    <w:pPr>
      <w:ind w:left="1701" w:hanging="567"/>
    </w:pPr>
  </w:style>
  <w:style w:type="paragraph" w:customStyle="1" w:styleId="89">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90">
    <w:name w:val="TAL Char"/>
    <w:link w:val="61"/>
    <w:qFormat/>
    <w:uiPriority w:val="0"/>
    <w:rPr>
      <w:rFonts w:ascii="Arial" w:hAnsi="Arial"/>
      <w:sz w:val="18"/>
      <w:lang w:val="en-GB"/>
    </w:rPr>
  </w:style>
  <w:style w:type="paragraph" w:customStyle="1" w:styleId="91">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2">
    <w:name w:val="Couv Rec Title"/>
    <w:basedOn w:val="1"/>
    <w:uiPriority w:val="0"/>
    <w:pPr>
      <w:keepNext/>
      <w:keepLines/>
      <w:spacing w:before="240"/>
      <w:ind w:left="1418"/>
    </w:pPr>
    <w:rPr>
      <w:rFonts w:ascii="Arial" w:hAnsi="Arial"/>
      <w:b/>
      <w:sz w:val="36"/>
      <w:lang w:val="en-US"/>
    </w:rPr>
  </w:style>
  <w:style w:type="paragraph" w:customStyle="1" w:styleId="93">
    <w:name w:val="TAJ"/>
    <w:basedOn w:val="71"/>
    <w:qFormat/>
    <w:uiPriority w:val="0"/>
  </w:style>
  <w:style w:type="paragraph" w:customStyle="1" w:styleId="94">
    <w:name w:val="Guidance"/>
    <w:basedOn w:val="1"/>
    <w:qFormat/>
    <w:uiPriority w:val="0"/>
    <w:rPr>
      <w:i/>
      <w:color w:val="0000FF"/>
    </w:rPr>
  </w:style>
  <w:style w:type="character" w:customStyle="1" w:styleId="95">
    <w:name w:val="批注框文本 Char"/>
    <w:link w:val="35"/>
    <w:qFormat/>
    <w:uiPriority w:val="0"/>
    <w:rPr>
      <w:rFonts w:ascii="Segoe UI" w:hAnsi="Segoe UI" w:cs="Segoe UI"/>
      <w:sz w:val="18"/>
      <w:szCs w:val="18"/>
      <w:lang w:val="en-GB"/>
    </w:rPr>
  </w:style>
  <w:style w:type="character" w:customStyle="1" w:styleId="96">
    <w:name w:val="B1 Char"/>
    <w:link w:val="69"/>
    <w:qFormat/>
    <w:uiPriority w:val="0"/>
    <w:rPr>
      <w:lang w:val="en-GB"/>
    </w:rPr>
  </w:style>
  <w:style w:type="character" w:customStyle="1" w:styleId="97">
    <w:name w:val="TAH Car"/>
    <w:link w:val="62"/>
    <w:qFormat/>
    <w:uiPriority w:val="0"/>
    <w:rPr>
      <w:rFonts w:ascii="Arial" w:hAnsi="Arial"/>
      <w:b/>
      <w:sz w:val="18"/>
      <w:lang w:val="en-GB"/>
    </w:rPr>
  </w:style>
  <w:style w:type="character" w:customStyle="1" w:styleId="98">
    <w:name w:val="TAC Char"/>
    <w:link w:val="63"/>
    <w:qFormat/>
    <w:uiPriority w:val="0"/>
    <w:rPr>
      <w:rFonts w:ascii="Arial" w:hAnsi="Arial"/>
      <w:sz w:val="18"/>
      <w:lang w:val="en-GB"/>
    </w:rPr>
  </w:style>
  <w:style w:type="character" w:customStyle="1" w:styleId="99">
    <w:name w:val="TF Char"/>
    <w:link w:val="78"/>
    <w:qFormat/>
    <w:uiPriority w:val="0"/>
    <w:rPr>
      <w:rFonts w:ascii="Arial" w:hAnsi="Arial"/>
      <w:b/>
      <w:lang w:val="en-GB"/>
    </w:rPr>
  </w:style>
  <w:style w:type="character" w:customStyle="1" w:styleId="100">
    <w:name w:val="TH Char"/>
    <w:link w:val="71"/>
    <w:locked/>
    <w:uiPriority w:val="0"/>
    <w:rPr>
      <w:rFonts w:ascii="Arial" w:hAnsi="Arial"/>
      <w:b/>
      <w:lang w:val="en-GB"/>
    </w:rPr>
  </w:style>
  <w:style w:type="character" w:customStyle="1" w:styleId="101">
    <w:name w:val="B1 Char1"/>
    <w:qFormat/>
    <w:uiPriority w:val="0"/>
    <w:rPr>
      <w:rFonts w:eastAsia="Times New Roman"/>
    </w:rPr>
  </w:style>
  <w:style w:type="paragraph" w:styleId="102">
    <w:name w:val="List Paragraph"/>
    <w:basedOn w:val="1"/>
    <w:qFormat/>
    <w:uiPriority w:val="34"/>
    <w:pPr>
      <w:spacing w:after="200" w:line="276" w:lineRule="auto"/>
      <w:ind w:left="720"/>
      <w:contextualSpacing/>
    </w:pPr>
    <w:rPr>
      <w:rFonts w:ascii="Calibri" w:hAnsi="Calibri" w:eastAsia="Calibri"/>
      <w:sz w:val="22"/>
      <w:szCs w:val="22"/>
      <w:lang w:val="en-US"/>
    </w:rPr>
  </w:style>
  <w:style w:type="character" w:customStyle="1" w:styleId="103">
    <w:name w:val="TAL Car"/>
    <w:qFormat/>
    <w:locked/>
    <w:uiPriority w:val="0"/>
    <w:rPr>
      <w:rFonts w:ascii="Arial" w:hAnsi="Arial" w:eastAsia="Times New Roman"/>
      <w:sz w:val="18"/>
      <w:lang w:val="en-GB" w:eastAsia="en-GB"/>
    </w:rPr>
  </w:style>
  <w:style w:type="character" w:customStyle="1" w:styleId="104">
    <w:name w:val="批注文字 Char"/>
    <w:link w:val="30"/>
    <w:semiHidden/>
    <w:uiPriority w:val="0"/>
    <w:rPr>
      <w:lang w:val="en-GB"/>
    </w:rPr>
  </w:style>
  <w:style w:type="character" w:customStyle="1" w:styleId="105">
    <w:name w:val="批注主题 Char"/>
    <w:link w:val="45"/>
    <w:qFormat/>
    <w:uiPriority w:val="0"/>
    <w:rPr>
      <w:b/>
      <w:bCs/>
      <w:lang w:val="en-GB"/>
    </w:rPr>
  </w:style>
  <w:style w:type="character" w:customStyle="1" w:styleId="106">
    <w:name w:val="EQ Char"/>
    <w:link w:val="53"/>
    <w:qFormat/>
    <w:uiPriority w:val="0"/>
    <w:rPr>
      <w:lang w:eastAsia="en-US"/>
    </w:rPr>
  </w:style>
  <w:style w:type="character" w:customStyle="1" w:styleId="107">
    <w:name w:val="题注 Char"/>
    <w:link w:val="28"/>
    <w:qFormat/>
    <w:uiPriority w:val="0"/>
    <w:rPr>
      <w:b/>
      <w:lang w:val="en-GB" w:eastAsia="en-US"/>
    </w:rPr>
  </w:style>
  <w:style w:type="character" w:customStyle="1" w:styleId="108">
    <w:name w:val="Unresolved Mention"/>
    <w:semiHidden/>
    <w:unhideWhenUsed/>
    <w:qFormat/>
    <w:uiPriority w:val="99"/>
    <w:rPr>
      <w:color w:val="808080"/>
      <w:shd w:val="clear" w:color="auto" w:fill="E6E6E6"/>
    </w:rPr>
  </w:style>
  <w:style w:type="paragraph" w:customStyle="1" w:styleId="109">
    <w:name w:val="参考文献"/>
    <w:basedOn w:val="1"/>
    <w:qFormat/>
    <w:uiPriority w:val="0"/>
    <w:pPr>
      <w:keepLines/>
      <w:numPr>
        <w:ilvl w:val="0"/>
        <w:numId w:val="1"/>
      </w:numPr>
      <w:spacing w:after="0"/>
    </w:pPr>
    <w:rPr>
      <w:rFonts w:eastAsia="MS Mincho"/>
    </w:rPr>
  </w:style>
  <w:style w:type="paragraph" w:customStyle="1" w:styleId="110">
    <w:name w:val="修订1"/>
    <w:hidden/>
    <w:semiHidden/>
    <w:qFormat/>
    <w:uiPriority w:val="99"/>
    <w:rPr>
      <w:rFonts w:ascii="Times New Roman" w:hAnsi="Times New Roman" w:eastAsia="Malgun Gothic" w:cs="Times New Roman"/>
      <w:lang w:val="en-GB" w:eastAsia="en-US" w:bidi="ar-SA"/>
    </w:rPr>
  </w:style>
  <w:style w:type="paragraph" w:customStyle="1" w:styleId="111">
    <w:name w:val="Default"/>
    <w:qFormat/>
    <w:uiPriority w:val="0"/>
    <w:pPr>
      <w:autoSpaceDE w:val="0"/>
      <w:autoSpaceDN w:val="0"/>
      <w:adjustRightInd w:val="0"/>
    </w:pPr>
    <w:rPr>
      <w:rFonts w:ascii="Arial" w:hAnsi="Arial" w:eastAsia="Malgun Gothic" w:cs="Arial"/>
      <w:color w:val="000000"/>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D48CBB-0A87-4681-9AD9-0EB632BB7422}">
  <ds:schemaRefs/>
</ds:datastoreItem>
</file>

<file path=customXml/itemProps3.xml><?xml version="1.0" encoding="utf-8"?>
<ds:datastoreItem xmlns:ds="http://schemas.openxmlformats.org/officeDocument/2006/customXml" ds:itemID="{1D66EB68-6999-44B3-BF9E-B7AD702F9BD7}">
  <ds:schemaRefs/>
</ds:datastoreItem>
</file>

<file path=customXml/itemProps4.xml><?xml version="1.0" encoding="utf-8"?>
<ds:datastoreItem xmlns:ds="http://schemas.openxmlformats.org/officeDocument/2006/customXml" ds:itemID="{6E0B8DE3-FD5E-4CC7-B669-D1F10BD3FE2A}">
  <ds:schemaRefs/>
</ds:datastoreItem>
</file>

<file path=customXml/itemProps5.xml><?xml version="1.0" encoding="utf-8"?>
<ds:datastoreItem xmlns:ds="http://schemas.openxmlformats.org/officeDocument/2006/customXml" ds:itemID="{9B6CEA88-1983-49AB-8FD9-33364209E235}">
  <ds:schemaRefs/>
</ds:datastoreItem>
</file>

<file path=docProps/app.xml><?xml version="1.0" encoding="utf-8"?>
<Properties xmlns="http://schemas.openxmlformats.org/officeDocument/2006/extended-properties" xmlns:vt="http://schemas.openxmlformats.org/officeDocument/2006/docPropsVTypes">
  <Template>Normal</Template>
  <Pages>3</Pages>
  <Words>800</Words>
  <Characters>4562</Characters>
  <Lines>38</Lines>
  <Paragraphs>10</Paragraphs>
  <TotalTime>91</TotalTime>
  <ScaleCrop>false</ScaleCrop>
  <LinksUpToDate>false</LinksUpToDate>
  <CharactersWithSpaces>5352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2020-04-09T01:11:00Z</dcterms:created>
  <dc:creator>Thorsten Hertel (KEYS)</dc:creator>
  <cp:lastModifiedBy>乔尚兵</cp:lastModifiedBy>
  <dcterms:modified xsi:type="dcterms:W3CDTF">2020-04-10T08:05:28Z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KSOProductBuildVer">
    <vt:lpwstr>2052-11.1.0.9584</vt:lpwstr>
  </property>
</Properties>
</file>